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jc w:val="center"/>
        <w:rPr>
          <w:rFonts w:hint="eastAsia"/>
          <w:szCs w:val="32"/>
          <w:lang w:eastAsia="zh-CN"/>
        </w:rPr>
      </w:pPr>
      <w:bookmarkStart w:id="0" w:name="_Toc7420911"/>
      <w:bookmarkStart w:id="1" w:name="_Toc485830213"/>
      <w:bookmarkStart w:id="2" w:name="_Toc464053715"/>
      <w:r>
        <w:rPr>
          <w:rFonts w:hint="eastAsia"/>
          <w:szCs w:val="32"/>
          <w:lang w:eastAsia="zh-CN"/>
        </w:rPr>
        <w:t>上海电力大学实验室面向本科学生开放管理办法</w:t>
      </w:r>
      <w:bookmarkEnd w:id="0"/>
    </w:p>
    <w:p>
      <w:pPr>
        <w:jc w:val="center"/>
        <w:rPr>
          <w:rFonts w:hint="eastAsia"/>
        </w:rPr>
      </w:pPr>
      <w:r>
        <w:rPr>
          <w:rFonts w:hint="eastAsia"/>
        </w:rPr>
        <w:t>上电教〔2020〕82号</w:t>
      </w:r>
    </w:p>
    <w:p>
      <w:pPr>
        <w:spacing w:before="156" w:beforeLines="50" w:line="480" w:lineRule="exact"/>
        <w:jc w:val="center"/>
        <w:rPr>
          <w:rFonts w:cs="宋体"/>
          <w:b/>
          <w:bCs/>
          <w:sz w:val="28"/>
          <w:szCs w:val="28"/>
        </w:rPr>
      </w:pPr>
      <w:r>
        <w:rPr>
          <w:rFonts w:hint="eastAsia" w:cs="宋体"/>
          <w:b/>
          <w:bCs/>
          <w:sz w:val="28"/>
          <w:szCs w:val="28"/>
        </w:rPr>
        <w:t>第一章</w:t>
      </w:r>
      <w:r>
        <w:rPr>
          <w:rFonts w:cs="宋体"/>
          <w:b/>
          <w:bCs/>
          <w:sz w:val="28"/>
          <w:szCs w:val="28"/>
        </w:rPr>
        <w:t xml:space="preserve">  </w:t>
      </w:r>
      <w:r>
        <w:rPr>
          <w:rFonts w:hint="eastAsia" w:cs="宋体"/>
          <w:b/>
          <w:bCs/>
          <w:sz w:val="28"/>
          <w:szCs w:val="28"/>
        </w:rPr>
        <w:t>总</w:t>
      </w:r>
      <w:r>
        <w:rPr>
          <w:rFonts w:cs="宋体"/>
          <w:b/>
          <w:bCs/>
          <w:sz w:val="28"/>
          <w:szCs w:val="28"/>
        </w:rPr>
        <w:t xml:space="preserve"> </w:t>
      </w:r>
      <w:r>
        <w:rPr>
          <w:rFonts w:hint="eastAsia" w:cs="宋体"/>
          <w:b/>
          <w:bCs/>
          <w:sz w:val="28"/>
          <w:szCs w:val="28"/>
        </w:rPr>
        <w:t>则</w:t>
      </w:r>
    </w:p>
    <w:p>
      <w:pPr>
        <w:spacing w:line="480" w:lineRule="exact"/>
        <w:ind w:firstLine="482"/>
        <w:rPr>
          <w:sz w:val="24"/>
          <w:szCs w:val="24"/>
        </w:rPr>
      </w:pPr>
      <w:r>
        <w:rPr>
          <w:rFonts w:hint="eastAsia"/>
          <w:b/>
          <w:bCs/>
          <w:sz w:val="24"/>
          <w:szCs w:val="24"/>
        </w:rPr>
        <w:t>第一条</w:t>
      </w:r>
      <w:r>
        <w:rPr>
          <w:sz w:val="24"/>
          <w:szCs w:val="24"/>
        </w:rPr>
        <w:t xml:space="preserve">  </w:t>
      </w:r>
      <w:r>
        <w:rPr>
          <w:rFonts w:hint="eastAsia"/>
          <w:sz w:val="24"/>
          <w:szCs w:val="24"/>
        </w:rPr>
        <w:t>实验教学是高校教学中必不可少的部分，是培养学生动手实践能力和创新能力的关键环节。为充分发挥学校实验室资源，提高实验教学水平，确保在教学计划中实验课程正常实施的基础上，促进各类实验室的正常开放，鼓励本科学生课余时间参加开放式实验教学、科学研究和科技创新等各类有益活动，逐步形成具备创新创业精神的高素质应用技术型人才培养新机制，特制定本办法。</w:t>
      </w:r>
    </w:p>
    <w:p>
      <w:pPr>
        <w:spacing w:line="480" w:lineRule="exact"/>
        <w:ind w:firstLine="482"/>
        <w:rPr>
          <w:sz w:val="24"/>
          <w:szCs w:val="24"/>
        </w:rPr>
      </w:pPr>
      <w:r>
        <w:rPr>
          <w:rFonts w:hint="eastAsia"/>
          <w:b/>
          <w:bCs/>
          <w:sz w:val="24"/>
          <w:szCs w:val="24"/>
        </w:rPr>
        <w:t>第二条</w:t>
      </w:r>
      <w:r>
        <w:rPr>
          <w:sz w:val="24"/>
          <w:szCs w:val="24"/>
        </w:rPr>
        <w:t xml:space="preserve">  </w:t>
      </w:r>
      <w:r>
        <w:rPr>
          <w:rFonts w:hint="eastAsia"/>
          <w:sz w:val="24"/>
          <w:szCs w:val="24"/>
        </w:rPr>
        <w:t>全校教学管理的各环节要重视实验室开放工作，把实验室开放作为实验教学改革的一项重要内容。各二级院部应充分利用各类教学实验、科研实验等现有实验室条件，统筹规划，根据实际情况采取多种形式，做好实验室对学生开放的相关工作。</w:t>
      </w:r>
    </w:p>
    <w:p>
      <w:pPr>
        <w:spacing w:line="480" w:lineRule="exact"/>
        <w:ind w:firstLine="482"/>
        <w:rPr>
          <w:sz w:val="24"/>
          <w:szCs w:val="24"/>
        </w:rPr>
      </w:pPr>
      <w:r>
        <w:rPr>
          <w:rFonts w:hint="eastAsia"/>
          <w:b/>
          <w:bCs/>
          <w:sz w:val="24"/>
          <w:szCs w:val="24"/>
        </w:rPr>
        <w:t>第三条</w:t>
      </w:r>
      <w:r>
        <w:rPr>
          <w:sz w:val="24"/>
          <w:szCs w:val="24"/>
        </w:rPr>
        <w:t xml:space="preserve">  </w:t>
      </w:r>
      <w:r>
        <w:rPr>
          <w:rFonts w:hint="eastAsia"/>
          <w:sz w:val="24"/>
          <w:szCs w:val="24"/>
        </w:rPr>
        <w:t>实验室开放要贯彻保证教学、面向全体、因材施教、讲求实效、形式多样的原则，根据学生的不同层次和要求，确定开放内容。重点培养学生的动手实践能力，进一步提升学生参与各类学科竞赛的综合能力，培养学生创新创业意识及应用研究能力。</w:t>
      </w:r>
    </w:p>
    <w:p>
      <w:pPr>
        <w:spacing w:line="480" w:lineRule="exact"/>
        <w:ind w:firstLine="482"/>
        <w:rPr>
          <w:sz w:val="24"/>
          <w:szCs w:val="24"/>
        </w:rPr>
      </w:pPr>
      <w:r>
        <w:rPr>
          <w:rFonts w:hint="eastAsia"/>
          <w:b/>
          <w:bCs/>
          <w:sz w:val="24"/>
          <w:szCs w:val="24"/>
        </w:rPr>
        <w:t>第四条</w:t>
      </w:r>
      <w:r>
        <w:rPr>
          <w:sz w:val="24"/>
          <w:szCs w:val="24"/>
        </w:rPr>
        <w:t xml:space="preserve">  </w:t>
      </w:r>
      <w:r>
        <w:rPr>
          <w:rFonts w:hint="eastAsia"/>
          <w:sz w:val="24"/>
          <w:szCs w:val="24"/>
        </w:rPr>
        <w:t>实验室开放的目标是在保证完成教学计划内实验课程的基础上，建立以学生为主体、教师加以启发指导的开放式实验教学模式。</w:t>
      </w:r>
    </w:p>
    <w:p>
      <w:pPr>
        <w:spacing w:line="480" w:lineRule="exact"/>
        <w:ind w:firstLine="482"/>
        <w:rPr>
          <w:sz w:val="24"/>
          <w:szCs w:val="24"/>
        </w:rPr>
      </w:pPr>
      <w:r>
        <w:rPr>
          <w:rFonts w:hint="eastAsia"/>
          <w:b/>
          <w:bCs/>
          <w:sz w:val="24"/>
          <w:szCs w:val="24"/>
        </w:rPr>
        <w:t>第五条</w:t>
      </w:r>
      <w:r>
        <w:rPr>
          <w:rFonts w:hint="eastAsia"/>
          <w:sz w:val="24"/>
          <w:szCs w:val="24"/>
        </w:rPr>
        <w:t xml:space="preserve">  实验室面向本科生开放工作，必须按照二级院部、实验室、指导教师及学生逐层落实安全责任，并严格遵照执行《上海电力大学实验室安全管理办法》。</w:t>
      </w:r>
    </w:p>
    <w:p>
      <w:pPr>
        <w:spacing w:before="156" w:beforeLines="50" w:line="480" w:lineRule="exact"/>
        <w:jc w:val="center"/>
        <w:rPr>
          <w:rFonts w:cs="宋体"/>
          <w:b/>
          <w:bCs/>
          <w:sz w:val="28"/>
          <w:szCs w:val="28"/>
        </w:rPr>
      </w:pPr>
      <w:r>
        <w:rPr>
          <w:rFonts w:hint="eastAsia" w:cs="宋体"/>
          <w:b/>
          <w:bCs/>
          <w:sz w:val="28"/>
          <w:szCs w:val="28"/>
        </w:rPr>
        <w:t>第二章</w:t>
      </w:r>
      <w:r>
        <w:rPr>
          <w:rFonts w:cs="宋体"/>
          <w:b/>
          <w:bCs/>
          <w:sz w:val="28"/>
          <w:szCs w:val="28"/>
        </w:rPr>
        <w:t xml:space="preserve">  </w:t>
      </w:r>
      <w:r>
        <w:rPr>
          <w:rFonts w:hint="eastAsia" w:cs="宋体"/>
          <w:b/>
          <w:bCs/>
          <w:sz w:val="28"/>
          <w:szCs w:val="28"/>
        </w:rPr>
        <w:t>实验室开放的模式</w:t>
      </w:r>
    </w:p>
    <w:p>
      <w:pPr>
        <w:spacing w:line="480" w:lineRule="exact"/>
        <w:ind w:firstLine="482"/>
        <w:rPr>
          <w:sz w:val="24"/>
          <w:szCs w:val="24"/>
        </w:rPr>
      </w:pPr>
      <w:r>
        <w:rPr>
          <w:rFonts w:hint="eastAsia"/>
          <w:b/>
          <w:bCs/>
          <w:sz w:val="24"/>
          <w:szCs w:val="24"/>
        </w:rPr>
        <w:t>第六条</w:t>
      </w:r>
      <w:r>
        <w:rPr>
          <w:sz w:val="24"/>
          <w:szCs w:val="24"/>
        </w:rPr>
        <w:t xml:space="preserve">  </w:t>
      </w:r>
      <w:r>
        <w:rPr>
          <w:rFonts w:hint="eastAsia"/>
          <w:sz w:val="24"/>
          <w:szCs w:val="24"/>
        </w:rPr>
        <w:t>实验室要优先保证对教学计划内实验课程的正常实施，实验室要根据实际情况，可采取全面开放、定时开放、预约开放等多种开放形式。各二级院部可根据本部门实际情况确定开放形式，并制定各类开放形式的具体规定。</w:t>
      </w:r>
    </w:p>
    <w:p>
      <w:pPr>
        <w:spacing w:line="480" w:lineRule="exact"/>
        <w:ind w:firstLine="482"/>
        <w:rPr>
          <w:sz w:val="24"/>
          <w:szCs w:val="24"/>
        </w:rPr>
      </w:pPr>
      <w:r>
        <w:rPr>
          <w:rFonts w:hint="eastAsia"/>
          <w:b/>
          <w:bCs/>
          <w:sz w:val="24"/>
          <w:szCs w:val="24"/>
        </w:rPr>
        <w:t>第七条</w:t>
      </w:r>
      <w:r>
        <w:rPr>
          <w:sz w:val="24"/>
          <w:szCs w:val="24"/>
        </w:rPr>
        <w:t xml:space="preserve">  </w:t>
      </w:r>
      <w:r>
        <w:rPr>
          <w:rFonts w:hint="eastAsia"/>
          <w:sz w:val="24"/>
          <w:szCs w:val="24"/>
        </w:rPr>
        <w:t>本科学生参与实验室开放的模式可分为创新创业型、科技活动型、参与科研型、自拟课题型、自选实验型等，具体说明如下：</w:t>
      </w:r>
    </w:p>
    <w:p>
      <w:pPr>
        <w:spacing w:line="480" w:lineRule="exact"/>
        <w:ind w:firstLine="482"/>
        <w:rPr>
          <w:sz w:val="24"/>
          <w:szCs w:val="24"/>
        </w:rPr>
      </w:pPr>
      <w:r>
        <w:rPr>
          <w:rFonts w:hint="eastAsia"/>
          <w:sz w:val="24"/>
          <w:szCs w:val="24"/>
        </w:rPr>
        <w:t>（一）创新创业型：创新创业是指基于技术、产品、品牌、服务、商业模式、管理、组织、市场、渠道等一点或几点创新而进行的创新创业训练实践活动。学生可以在创新创业前期根据需要提出项目申请，进入实验室进行相关的研究与论证。</w:t>
      </w:r>
    </w:p>
    <w:p>
      <w:pPr>
        <w:spacing w:line="480" w:lineRule="exact"/>
        <w:ind w:firstLine="482"/>
        <w:rPr>
          <w:sz w:val="24"/>
          <w:szCs w:val="24"/>
        </w:rPr>
      </w:pPr>
      <w:r>
        <w:rPr>
          <w:rFonts w:hint="eastAsia"/>
          <w:sz w:val="24"/>
          <w:szCs w:val="24"/>
        </w:rPr>
        <w:t>（二）科技活动型：学生基于各类基础学科竞赛、专业学科竞赛，或自行拟定科技活动课题，结合实验室的条件到相应实验室，在实验技术人员和指导教师指导下开展实验活动。</w:t>
      </w:r>
    </w:p>
    <w:p>
      <w:pPr>
        <w:spacing w:line="480" w:lineRule="exact"/>
        <w:ind w:firstLine="482"/>
        <w:rPr>
          <w:sz w:val="24"/>
          <w:szCs w:val="24"/>
        </w:rPr>
      </w:pPr>
      <w:r>
        <w:rPr>
          <w:rFonts w:hint="eastAsia"/>
          <w:sz w:val="24"/>
          <w:szCs w:val="24"/>
        </w:rPr>
        <w:t>（三）参与科研型：实验室定期发布科研项目中的开放研究题目，吸收部分优秀学生早期进入实验室参与教师的科学研究活动。</w:t>
      </w:r>
    </w:p>
    <w:p>
      <w:pPr>
        <w:spacing w:line="480" w:lineRule="exact"/>
        <w:ind w:firstLine="482"/>
        <w:rPr>
          <w:sz w:val="24"/>
          <w:szCs w:val="24"/>
        </w:rPr>
      </w:pPr>
      <w:r>
        <w:rPr>
          <w:rFonts w:hint="eastAsia"/>
          <w:sz w:val="24"/>
          <w:szCs w:val="24"/>
        </w:rPr>
        <w:t>（四）自拟课题型：学生自己拟订实验课题，自己进行创新设计实验，在实验技术人员和指导教师指导下，相对独立完成课题的方案设计、实验装置安装与调试，完成实验并撰写实验报告。</w:t>
      </w:r>
    </w:p>
    <w:p>
      <w:pPr>
        <w:spacing w:line="480" w:lineRule="exact"/>
        <w:ind w:firstLine="482"/>
        <w:rPr>
          <w:sz w:val="24"/>
          <w:szCs w:val="24"/>
        </w:rPr>
      </w:pPr>
      <w:r>
        <w:rPr>
          <w:rFonts w:hint="eastAsia"/>
          <w:sz w:val="24"/>
          <w:szCs w:val="24"/>
        </w:rPr>
        <w:t>（五）自选实验型：实验室定期发布教学计划以外的综合型、设计型自选实验课题供学生自己选择，在一定时间内在指导教师指导下独立完成实验。</w:t>
      </w:r>
    </w:p>
    <w:p>
      <w:pPr>
        <w:spacing w:line="480" w:lineRule="exact"/>
        <w:ind w:firstLine="482"/>
        <w:rPr>
          <w:sz w:val="24"/>
          <w:szCs w:val="24"/>
        </w:rPr>
      </w:pPr>
      <w:r>
        <w:rPr>
          <w:rFonts w:hint="eastAsia"/>
          <w:sz w:val="24"/>
          <w:szCs w:val="24"/>
        </w:rPr>
        <w:t>开放实验教学项目应符合以下条件：</w:t>
      </w:r>
    </w:p>
    <w:p>
      <w:pPr>
        <w:spacing w:line="480" w:lineRule="exact"/>
        <w:ind w:firstLine="482"/>
        <w:rPr>
          <w:sz w:val="24"/>
          <w:szCs w:val="24"/>
        </w:rPr>
      </w:pPr>
      <w:r>
        <w:rPr>
          <w:rFonts w:ascii="宋体" w:hAnsi="宋体"/>
          <w:sz w:val="24"/>
          <w:szCs w:val="24"/>
        </w:rPr>
        <w:t>1.</w:t>
      </w:r>
      <w:r>
        <w:rPr>
          <w:rFonts w:hint="eastAsia"/>
          <w:sz w:val="24"/>
          <w:szCs w:val="24"/>
        </w:rPr>
        <w:t xml:space="preserve"> 开放实验教学项目的内容不能与培养方案中确定的实验教学内容相重复；</w:t>
      </w:r>
    </w:p>
    <w:p>
      <w:pPr>
        <w:spacing w:line="480" w:lineRule="exact"/>
        <w:ind w:firstLine="482"/>
        <w:rPr>
          <w:sz w:val="24"/>
          <w:szCs w:val="24"/>
        </w:rPr>
      </w:pPr>
      <w:r>
        <w:rPr>
          <w:rFonts w:ascii="宋体" w:hAnsi="宋体"/>
          <w:sz w:val="24"/>
          <w:szCs w:val="24"/>
        </w:rPr>
        <w:t>2.</w:t>
      </w:r>
      <w:r>
        <w:rPr>
          <w:rFonts w:hint="eastAsia" w:ascii="宋体" w:hAnsi="宋体"/>
          <w:sz w:val="24"/>
          <w:szCs w:val="24"/>
        </w:rPr>
        <w:t xml:space="preserve"> </w:t>
      </w:r>
      <w:r>
        <w:rPr>
          <w:rFonts w:hint="eastAsia"/>
          <w:sz w:val="24"/>
          <w:szCs w:val="24"/>
        </w:rPr>
        <w:t>开放实验教学项目是课程实验教学内容的拓展和提升。</w:t>
      </w:r>
    </w:p>
    <w:p>
      <w:pPr>
        <w:spacing w:line="480" w:lineRule="exact"/>
        <w:ind w:firstLine="482"/>
        <w:rPr>
          <w:sz w:val="24"/>
          <w:szCs w:val="24"/>
        </w:rPr>
      </w:pPr>
      <w:r>
        <w:rPr>
          <w:rFonts w:hint="eastAsia"/>
          <w:b/>
          <w:bCs/>
          <w:sz w:val="24"/>
          <w:szCs w:val="24"/>
        </w:rPr>
        <w:t>第八条</w:t>
      </w:r>
      <w:r>
        <w:rPr>
          <w:sz w:val="24"/>
          <w:szCs w:val="24"/>
        </w:rPr>
        <w:t xml:space="preserve">  </w:t>
      </w:r>
      <w:r>
        <w:rPr>
          <w:rFonts w:hint="eastAsia"/>
          <w:sz w:val="24"/>
          <w:szCs w:val="24"/>
        </w:rPr>
        <w:t>开放实验室项目由各二级院部组织申报审核，交教务处备案后，列入开放式实验室教学范围。</w:t>
      </w:r>
    </w:p>
    <w:p>
      <w:pPr>
        <w:spacing w:line="480" w:lineRule="exact"/>
        <w:ind w:firstLine="482"/>
        <w:rPr>
          <w:sz w:val="24"/>
          <w:szCs w:val="24"/>
        </w:rPr>
      </w:pPr>
      <w:r>
        <w:rPr>
          <w:rFonts w:hint="eastAsia"/>
          <w:b/>
          <w:bCs/>
          <w:sz w:val="24"/>
          <w:szCs w:val="24"/>
        </w:rPr>
        <w:t>第九条</w:t>
      </w:r>
      <w:r>
        <w:rPr>
          <w:sz w:val="24"/>
          <w:szCs w:val="24"/>
        </w:rPr>
        <w:t xml:space="preserve">  </w:t>
      </w:r>
      <w:r>
        <w:rPr>
          <w:rFonts w:hint="eastAsia"/>
          <w:sz w:val="24"/>
          <w:szCs w:val="24"/>
        </w:rPr>
        <w:t>以实验成果（包括实物、论文或实验报告）和</w:t>
      </w:r>
      <w:r>
        <w:rPr>
          <w:rFonts w:ascii="宋体" w:hAnsi="宋体"/>
          <w:sz w:val="24"/>
          <w:szCs w:val="24"/>
        </w:rPr>
        <w:t>2</w:t>
      </w:r>
      <w:r>
        <w:rPr>
          <w:rFonts w:hint="eastAsia"/>
          <w:sz w:val="24"/>
          <w:szCs w:val="24"/>
        </w:rPr>
        <w:t>名以上指导教师评价，经二级院部审核认定，一方面作为学生成绩和学分的评定依据，另一方面作为开放实验室项目验收依据。</w:t>
      </w:r>
    </w:p>
    <w:p>
      <w:pPr>
        <w:spacing w:before="156" w:beforeLines="50" w:line="480" w:lineRule="exact"/>
        <w:jc w:val="center"/>
        <w:rPr>
          <w:rFonts w:cs="宋体"/>
          <w:b/>
          <w:bCs/>
          <w:sz w:val="28"/>
          <w:szCs w:val="28"/>
        </w:rPr>
      </w:pPr>
      <w:r>
        <w:rPr>
          <w:rFonts w:hint="eastAsia" w:cs="宋体"/>
          <w:b/>
          <w:bCs/>
          <w:sz w:val="28"/>
          <w:szCs w:val="28"/>
        </w:rPr>
        <w:t>第三章</w:t>
      </w:r>
      <w:r>
        <w:rPr>
          <w:rFonts w:cs="宋体"/>
          <w:b/>
          <w:bCs/>
          <w:sz w:val="28"/>
          <w:szCs w:val="28"/>
        </w:rPr>
        <w:t xml:space="preserve">  </w:t>
      </w:r>
      <w:r>
        <w:rPr>
          <w:rFonts w:hint="eastAsia" w:cs="宋体"/>
          <w:b/>
          <w:bCs/>
          <w:sz w:val="28"/>
          <w:szCs w:val="28"/>
        </w:rPr>
        <w:t>实验室开放的实施办法</w:t>
      </w:r>
    </w:p>
    <w:p>
      <w:pPr>
        <w:spacing w:line="480" w:lineRule="exact"/>
        <w:ind w:firstLine="482"/>
        <w:rPr>
          <w:sz w:val="24"/>
          <w:szCs w:val="24"/>
        </w:rPr>
      </w:pPr>
      <w:r>
        <w:rPr>
          <w:rFonts w:hint="eastAsia"/>
          <w:b/>
          <w:bCs/>
          <w:sz w:val="24"/>
          <w:szCs w:val="24"/>
        </w:rPr>
        <w:t>第十条</w:t>
      </w:r>
      <w:r>
        <w:rPr>
          <w:sz w:val="24"/>
          <w:szCs w:val="24"/>
        </w:rPr>
        <w:t xml:space="preserve">  </w:t>
      </w:r>
      <w:r>
        <w:rPr>
          <w:rFonts w:hint="eastAsia"/>
          <w:sz w:val="24"/>
          <w:szCs w:val="24"/>
        </w:rPr>
        <w:t>实验室开放工作在主管校领导的统一领导下，由教务处、实验室与资产管理处监督实施，各二级院部负责本部门实验室的具体开放工作。</w:t>
      </w:r>
    </w:p>
    <w:p>
      <w:pPr>
        <w:spacing w:line="480" w:lineRule="exact"/>
        <w:ind w:firstLine="482"/>
        <w:rPr>
          <w:sz w:val="24"/>
          <w:szCs w:val="24"/>
        </w:rPr>
      </w:pPr>
      <w:r>
        <w:rPr>
          <w:rFonts w:hint="eastAsia"/>
          <w:b/>
          <w:bCs/>
          <w:sz w:val="24"/>
          <w:szCs w:val="24"/>
        </w:rPr>
        <w:t>第十一条</w:t>
      </w:r>
      <w:r>
        <w:rPr>
          <w:sz w:val="24"/>
          <w:szCs w:val="24"/>
        </w:rPr>
        <w:t xml:space="preserve">  </w:t>
      </w:r>
      <w:r>
        <w:rPr>
          <w:rFonts w:hint="eastAsia"/>
          <w:sz w:val="24"/>
          <w:szCs w:val="24"/>
        </w:rPr>
        <w:t>开放实验室项目相关经费计划，应由各二级院部纳入部门年度预算之中，并汇总报教务处备案。</w:t>
      </w:r>
    </w:p>
    <w:p>
      <w:pPr>
        <w:spacing w:line="480" w:lineRule="exact"/>
        <w:ind w:firstLine="482"/>
        <w:rPr>
          <w:sz w:val="24"/>
          <w:szCs w:val="24"/>
        </w:rPr>
      </w:pPr>
      <w:r>
        <w:rPr>
          <w:rFonts w:hint="eastAsia"/>
          <w:b/>
          <w:bCs/>
          <w:sz w:val="24"/>
          <w:szCs w:val="24"/>
        </w:rPr>
        <w:t>第十二条</w:t>
      </w:r>
      <w:r>
        <w:rPr>
          <w:b/>
          <w:bCs/>
          <w:sz w:val="24"/>
          <w:szCs w:val="24"/>
        </w:rPr>
        <w:t xml:space="preserve"> </w:t>
      </w:r>
      <w:r>
        <w:rPr>
          <w:sz w:val="24"/>
          <w:szCs w:val="24"/>
        </w:rPr>
        <w:t xml:space="preserve"> </w:t>
      </w:r>
      <w:r>
        <w:rPr>
          <w:rFonts w:hint="eastAsia"/>
          <w:sz w:val="24"/>
          <w:szCs w:val="24"/>
        </w:rPr>
        <w:t>每学期结束前</w:t>
      </w:r>
      <w:r>
        <w:rPr>
          <w:rFonts w:ascii="宋体" w:hAnsi="宋体"/>
          <w:sz w:val="24"/>
          <w:szCs w:val="24"/>
        </w:rPr>
        <w:t>3</w:t>
      </w:r>
      <w:r>
        <w:rPr>
          <w:rFonts w:hint="eastAsia"/>
          <w:sz w:val="24"/>
          <w:szCs w:val="24"/>
        </w:rPr>
        <w:t>周，各实验室填写《上海电力大学面向本科学生开放实验室及实验项目申报表》，提交实验室开放方案、实验室开放相关管理制度、实验室开放经费预算计划等，经相关二级院部分管领导审核同意后报教务处备案。实验室开放项目于下学期开学的前</w:t>
      </w:r>
      <w:r>
        <w:rPr>
          <w:rFonts w:ascii="宋体" w:hAnsi="宋体"/>
          <w:sz w:val="24"/>
          <w:szCs w:val="24"/>
        </w:rPr>
        <w:t>3</w:t>
      </w:r>
      <w:r>
        <w:rPr>
          <w:rFonts w:hint="eastAsia"/>
          <w:sz w:val="24"/>
          <w:szCs w:val="24"/>
        </w:rPr>
        <w:t>周公布，各二级院部根据公布的开放实验项目组织学生申报及审定。</w:t>
      </w:r>
    </w:p>
    <w:p>
      <w:pPr>
        <w:spacing w:line="480" w:lineRule="exact"/>
        <w:ind w:firstLine="482"/>
        <w:rPr>
          <w:sz w:val="24"/>
          <w:szCs w:val="24"/>
        </w:rPr>
      </w:pPr>
      <w:r>
        <w:rPr>
          <w:rFonts w:hint="eastAsia"/>
          <w:b/>
          <w:bCs/>
          <w:sz w:val="24"/>
          <w:szCs w:val="24"/>
        </w:rPr>
        <w:t>第十三条</w:t>
      </w:r>
      <w:r>
        <w:rPr>
          <w:b/>
          <w:bCs/>
          <w:sz w:val="24"/>
          <w:szCs w:val="24"/>
        </w:rPr>
        <w:t xml:space="preserve"> </w:t>
      </w:r>
      <w:r>
        <w:rPr>
          <w:sz w:val="24"/>
          <w:szCs w:val="24"/>
        </w:rPr>
        <w:t xml:space="preserve"> </w:t>
      </w:r>
      <w:r>
        <w:rPr>
          <w:rFonts w:hint="eastAsia"/>
          <w:sz w:val="24"/>
          <w:szCs w:val="24"/>
        </w:rPr>
        <w:t>学生个人或社团组织、兴趣小组利用课余时间（或假期）进入实验室开展开放形式实验项目的实验活动，可以根据学校已经审批的开放实验项目，也可结合自选项目，填报《上海电力大学本科学生进入开放实验室申请表》，完成学生申报流程。</w:t>
      </w:r>
    </w:p>
    <w:p>
      <w:pPr>
        <w:spacing w:line="480" w:lineRule="exact"/>
        <w:ind w:firstLine="482"/>
        <w:rPr>
          <w:sz w:val="24"/>
          <w:szCs w:val="24"/>
        </w:rPr>
      </w:pPr>
      <w:r>
        <w:rPr>
          <w:rFonts w:hint="eastAsia"/>
          <w:b/>
          <w:bCs/>
          <w:sz w:val="24"/>
          <w:szCs w:val="24"/>
        </w:rPr>
        <w:t>第十四条</w:t>
      </w:r>
      <w:r>
        <w:rPr>
          <w:b/>
          <w:bCs/>
          <w:sz w:val="24"/>
          <w:szCs w:val="24"/>
        </w:rPr>
        <w:t xml:space="preserve"> </w:t>
      </w:r>
      <w:r>
        <w:rPr>
          <w:sz w:val="24"/>
          <w:szCs w:val="24"/>
        </w:rPr>
        <w:t xml:space="preserve"> </w:t>
      </w:r>
      <w:r>
        <w:rPr>
          <w:rFonts w:hint="eastAsia"/>
          <w:sz w:val="24"/>
          <w:szCs w:val="24"/>
        </w:rPr>
        <w:t>每学期开学后第</w:t>
      </w:r>
      <w:r>
        <w:rPr>
          <w:rFonts w:ascii="Times New Roman" w:hAnsi="Times New Roman"/>
          <w:sz w:val="24"/>
          <w:szCs w:val="24"/>
        </w:rPr>
        <w:t>3</w:t>
      </w:r>
      <w:r>
        <w:rPr>
          <w:rFonts w:hint="eastAsia"/>
          <w:sz w:val="24"/>
          <w:szCs w:val="24"/>
        </w:rPr>
        <w:t>周开始组织本学期实验室开放项目的实施。各二级院部要认真组织好实验室开放管理工作，只有经二级教学单位分管领导批准，并报教务处备案同意后的学生方可按计划进入实验室。</w:t>
      </w:r>
    </w:p>
    <w:p>
      <w:pPr>
        <w:spacing w:line="480" w:lineRule="exact"/>
        <w:ind w:firstLine="482"/>
        <w:rPr>
          <w:sz w:val="24"/>
          <w:szCs w:val="24"/>
        </w:rPr>
      </w:pPr>
      <w:r>
        <w:rPr>
          <w:rFonts w:hint="eastAsia"/>
          <w:sz w:val="24"/>
          <w:szCs w:val="24"/>
        </w:rPr>
        <w:t>进入开放实验室必须严格遵守实验室各项安全及管理规章制度，并严格遵照执行实验室准入制度。损坏仪器设备须按照学校有关规定予以赔偿。学生进入开放实验室前要阅读与实验内容有关的参考资料。</w:t>
      </w:r>
    </w:p>
    <w:p>
      <w:pPr>
        <w:spacing w:line="480" w:lineRule="exact"/>
        <w:ind w:firstLine="482"/>
        <w:rPr>
          <w:sz w:val="24"/>
          <w:szCs w:val="24"/>
        </w:rPr>
      </w:pPr>
      <w:r>
        <w:rPr>
          <w:rFonts w:hint="eastAsia"/>
          <w:sz w:val="24"/>
          <w:szCs w:val="24"/>
        </w:rPr>
        <w:t>指导老师与参与实验的学生须分别填写《上海电力大学面向本科学生开放实验室工作情况记录表》和《上海电力大学面向本科学生开放实验室实验情况记录表》。实验室每学期结束前</w:t>
      </w:r>
      <w:r>
        <w:rPr>
          <w:rFonts w:ascii="宋体" w:hAnsi="宋体"/>
          <w:sz w:val="24"/>
          <w:szCs w:val="24"/>
        </w:rPr>
        <w:t>1</w:t>
      </w:r>
      <w:r>
        <w:rPr>
          <w:rFonts w:hint="eastAsia"/>
          <w:sz w:val="24"/>
          <w:szCs w:val="24"/>
        </w:rPr>
        <w:t>周将开放实验的情况进行统计汇总，并将相关汇总材料报送教务处备案。</w:t>
      </w:r>
    </w:p>
    <w:p>
      <w:pPr>
        <w:spacing w:line="480" w:lineRule="exact"/>
        <w:ind w:firstLine="482"/>
        <w:rPr>
          <w:sz w:val="24"/>
          <w:szCs w:val="24"/>
        </w:rPr>
      </w:pPr>
      <w:r>
        <w:rPr>
          <w:rFonts w:hint="eastAsia"/>
          <w:b/>
          <w:bCs/>
          <w:sz w:val="24"/>
          <w:szCs w:val="24"/>
        </w:rPr>
        <w:t>第十五条</w:t>
      </w:r>
      <w:r>
        <w:rPr>
          <w:sz w:val="24"/>
          <w:szCs w:val="24"/>
        </w:rPr>
        <w:t xml:space="preserve">  </w:t>
      </w:r>
      <w:r>
        <w:rPr>
          <w:rFonts w:hint="eastAsia"/>
          <w:sz w:val="24"/>
          <w:szCs w:val="24"/>
        </w:rPr>
        <w:t>学生进入开放实验室应严格遵守实验室的各项规章制度，在实验指导教师、技术人员的指导下，进行实验活动，并认真撰写实验报告，对实验项目的创新点、实验数据采集记录、实验操作过程、实验结果、收获与体会等进行认真总结。实验报告应由实验指导教师或实验技术人员签字，作为对开放实验室进行考核的依据。</w:t>
      </w:r>
    </w:p>
    <w:p>
      <w:pPr>
        <w:spacing w:line="480" w:lineRule="exact"/>
        <w:ind w:firstLine="482"/>
        <w:rPr>
          <w:sz w:val="24"/>
          <w:szCs w:val="24"/>
        </w:rPr>
      </w:pPr>
      <w:r>
        <w:rPr>
          <w:rFonts w:hint="eastAsia"/>
          <w:b/>
          <w:bCs/>
          <w:sz w:val="24"/>
          <w:szCs w:val="24"/>
        </w:rPr>
        <w:t>第十六条</w:t>
      </w:r>
      <w:r>
        <w:rPr>
          <w:sz w:val="24"/>
          <w:szCs w:val="24"/>
        </w:rPr>
        <w:t xml:space="preserve">  </w:t>
      </w:r>
      <w:r>
        <w:rPr>
          <w:rFonts w:hint="eastAsia"/>
          <w:sz w:val="24"/>
          <w:szCs w:val="24"/>
        </w:rPr>
        <w:t>实验室开放过程中，须有指导教师或实验技术人员值班，负责维护实验教学秩序，做好实验器材调配、实验室安全等工作，并认真做好实验室开放记录。每学期结束前</w:t>
      </w:r>
      <w:r>
        <w:rPr>
          <w:rFonts w:ascii="宋体" w:hAnsi="宋体"/>
          <w:sz w:val="24"/>
          <w:szCs w:val="24"/>
        </w:rPr>
        <w:t>1</w:t>
      </w:r>
      <w:r>
        <w:rPr>
          <w:rFonts w:hint="eastAsia"/>
          <w:sz w:val="24"/>
          <w:szCs w:val="24"/>
        </w:rPr>
        <w:t>周，各二级院部将本部门实验室开放完成项目书面总结及学生成绩的相关情况报教务处。</w:t>
      </w:r>
    </w:p>
    <w:p>
      <w:pPr>
        <w:spacing w:before="156" w:beforeLines="50" w:line="480" w:lineRule="exact"/>
        <w:jc w:val="center"/>
        <w:rPr>
          <w:rFonts w:cs="宋体"/>
          <w:b/>
          <w:bCs/>
          <w:sz w:val="28"/>
          <w:szCs w:val="28"/>
        </w:rPr>
      </w:pPr>
      <w:r>
        <w:rPr>
          <w:rFonts w:hint="eastAsia" w:cs="宋体"/>
          <w:b/>
          <w:bCs/>
          <w:sz w:val="28"/>
          <w:szCs w:val="28"/>
        </w:rPr>
        <w:t>第四章</w:t>
      </w:r>
      <w:r>
        <w:rPr>
          <w:rFonts w:cs="宋体"/>
          <w:b/>
          <w:bCs/>
          <w:sz w:val="28"/>
          <w:szCs w:val="28"/>
        </w:rPr>
        <w:t xml:space="preserve">  </w:t>
      </w:r>
      <w:r>
        <w:rPr>
          <w:rFonts w:hint="eastAsia" w:cs="宋体"/>
          <w:b/>
          <w:bCs/>
          <w:sz w:val="28"/>
          <w:szCs w:val="28"/>
        </w:rPr>
        <w:t>鼓励与奖励办法</w:t>
      </w:r>
    </w:p>
    <w:p>
      <w:pPr>
        <w:spacing w:line="480" w:lineRule="exact"/>
        <w:ind w:firstLine="480"/>
        <w:rPr>
          <w:dstrike/>
          <w:sz w:val="24"/>
          <w:szCs w:val="24"/>
        </w:rPr>
      </w:pPr>
      <w:r>
        <w:rPr>
          <w:rFonts w:hint="eastAsia"/>
          <w:b/>
          <w:bCs/>
          <w:sz w:val="24"/>
          <w:szCs w:val="24"/>
        </w:rPr>
        <w:t>第十七条</w:t>
      </w:r>
      <w:r>
        <w:rPr>
          <w:sz w:val="24"/>
          <w:szCs w:val="24"/>
        </w:rPr>
        <w:t xml:space="preserve">  </w:t>
      </w:r>
      <w:r>
        <w:rPr>
          <w:rFonts w:hint="eastAsia"/>
          <w:sz w:val="24"/>
          <w:szCs w:val="24"/>
        </w:rPr>
        <w:t>鼓励学生利用课余时间参加开放式实验教学活动。学生参加开放实验教学的成绩经考核合格后，可根据完成开放实验项目工作量大小，申请学分认定，用于抵充全校任意选修课学分；在开放实验项目的基础上，学生参加学科竞赛、大学生创新创业项目、发表论文、申请获得专利等，将按学校相关规定给予奖励。</w:t>
      </w:r>
    </w:p>
    <w:p>
      <w:pPr>
        <w:spacing w:line="480" w:lineRule="exact"/>
        <w:ind w:firstLine="480"/>
        <w:rPr>
          <w:bCs/>
          <w:sz w:val="24"/>
          <w:szCs w:val="24"/>
        </w:rPr>
      </w:pPr>
      <w:r>
        <w:rPr>
          <w:rFonts w:hint="eastAsia"/>
          <w:b/>
          <w:bCs/>
          <w:sz w:val="24"/>
          <w:szCs w:val="24"/>
        </w:rPr>
        <w:t>第十八条</w:t>
      </w:r>
      <w:r>
        <w:rPr>
          <w:b/>
          <w:bCs/>
          <w:sz w:val="24"/>
          <w:szCs w:val="24"/>
        </w:rPr>
        <w:t xml:space="preserve">  </w:t>
      </w:r>
      <w:r>
        <w:rPr>
          <w:rFonts w:hint="eastAsia"/>
          <w:bCs/>
          <w:sz w:val="24"/>
          <w:szCs w:val="24"/>
        </w:rPr>
        <w:t>各实验室开放学时总数，可纳入实验室定岗定编人员的年度工作量考核指标；</w:t>
      </w:r>
      <w:r>
        <w:rPr>
          <w:rFonts w:hint="eastAsia"/>
          <w:sz w:val="24"/>
          <w:szCs w:val="24"/>
        </w:rPr>
        <w:t>在开放实验项目的基础上，教师指导学生参加学科竞赛、大学生创新创业项目、发表论文、申请获得专利等，将按学校相关规定给予奖励。</w:t>
      </w:r>
    </w:p>
    <w:p>
      <w:pPr>
        <w:spacing w:line="480" w:lineRule="exact"/>
        <w:ind w:firstLine="480"/>
        <w:rPr>
          <w:b/>
          <w:bCs/>
          <w:sz w:val="24"/>
          <w:szCs w:val="24"/>
        </w:rPr>
      </w:pPr>
      <w:r>
        <w:rPr>
          <w:rFonts w:hint="eastAsia"/>
          <w:b/>
          <w:bCs/>
          <w:sz w:val="24"/>
          <w:szCs w:val="24"/>
        </w:rPr>
        <w:t xml:space="preserve">第十九条  </w:t>
      </w:r>
      <w:r>
        <w:rPr>
          <w:rFonts w:hint="eastAsia"/>
          <w:sz w:val="24"/>
          <w:szCs w:val="24"/>
        </w:rPr>
        <w:t>年终实验室绩效考核时，实验室开放学时</w:t>
      </w:r>
      <w:r>
        <w:rPr>
          <w:rFonts w:hint="eastAsia" w:ascii="宋体" w:hAnsi="宋体"/>
          <w:sz w:val="24"/>
          <w:szCs w:val="24"/>
        </w:rPr>
        <w:t>×</w:t>
      </w:r>
      <w:r>
        <w:rPr>
          <w:rFonts w:ascii="宋体" w:hAnsi="宋体"/>
          <w:sz w:val="24"/>
          <w:szCs w:val="24"/>
        </w:rPr>
        <w:t>1.2</w:t>
      </w:r>
      <w:r>
        <w:rPr>
          <w:rFonts w:hint="eastAsia"/>
          <w:sz w:val="24"/>
          <w:szCs w:val="24"/>
        </w:rPr>
        <w:t>计算实验室利用率；仪器设备开放有效机时</w:t>
      </w:r>
      <w:r>
        <w:rPr>
          <w:rFonts w:hint="eastAsia" w:ascii="宋体" w:hAnsi="宋体"/>
          <w:sz w:val="24"/>
          <w:szCs w:val="24"/>
        </w:rPr>
        <w:t>×</w:t>
      </w:r>
      <w:r>
        <w:rPr>
          <w:rFonts w:ascii="宋体" w:hAnsi="宋体"/>
          <w:sz w:val="24"/>
          <w:szCs w:val="24"/>
        </w:rPr>
        <w:t>1.2</w:t>
      </w:r>
      <w:r>
        <w:rPr>
          <w:rFonts w:hint="eastAsia"/>
          <w:sz w:val="24"/>
          <w:szCs w:val="24"/>
        </w:rPr>
        <w:t>计算大型仪器设备利用率。各实验室的开放实验申报、申请及实验学时数、学生人数、实验报告等过程记录文档作为支撑材料备查。</w:t>
      </w:r>
    </w:p>
    <w:p>
      <w:pPr>
        <w:spacing w:line="480" w:lineRule="exact"/>
        <w:ind w:firstLine="480"/>
        <w:rPr>
          <w:sz w:val="24"/>
          <w:szCs w:val="24"/>
        </w:rPr>
      </w:pPr>
      <w:r>
        <w:rPr>
          <w:rFonts w:hint="eastAsia"/>
          <w:b/>
          <w:bCs/>
          <w:sz w:val="24"/>
          <w:szCs w:val="24"/>
        </w:rPr>
        <w:t>第二十条</w:t>
      </w:r>
      <w:r>
        <w:rPr>
          <w:sz w:val="24"/>
          <w:szCs w:val="24"/>
        </w:rPr>
        <w:t xml:space="preserve">  </w:t>
      </w:r>
      <w:r>
        <w:rPr>
          <w:rFonts w:hint="eastAsia"/>
          <w:sz w:val="24"/>
          <w:szCs w:val="24"/>
        </w:rPr>
        <w:t>本办法自学校批准之日起执行，解释权归教务处、实验室与资产管理处。各学院可根据本办法制定实施细则。</w:t>
      </w:r>
    </w:p>
    <w:p/>
    <w:p>
      <w:pPr>
        <w:widowControl/>
        <w:jc w:val="left"/>
        <w:rPr>
          <w:rFonts w:cs="Calibri"/>
          <w:b/>
          <w:kern w:val="0"/>
          <w:sz w:val="28"/>
          <w:szCs w:val="28"/>
        </w:rPr>
      </w:pPr>
    </w:p>
    <w:bookmarkEnd w:id="1"/>
    <w:bookmarkEnd w:id="2"/>
    <w:p>
      <w:pPr>
        <w:widowControl/>
        <w:spacing w:line="360" w:lineRule="auto"/>
        <w:jc w:val="both"/>
        <w:rPr>
          <w:rFonts w:cs="Calibri"/>
          <w:szCs w:val="21"/>
        </w:rPr>
      </w:pPr>
      <w:bookmarkStart w:id="3" w:name="_GoBack"/>
      <w:bookmarkEnd w:id="3"/>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73</w:t>
    </w:r>
    <w:r>
      <w:rPr>
        <w:lang w:val="zh-CN"/>
      </w:rPr>
      <w:fldChar w:fldCharType="end"/>
    </w:r>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8F"/>
    <w:rsid w:val="00000301"/>
    <w:rsid w:val="00004569"/>
    <w:rsid w:val="00005528"/>
    <w:rsid w:val="00005788"/>
    <w:rsid w:val="00005D50"/>
    <w:rsid w:val="000074A6"/>
    <w:rsid w:val="000074C1"/>
    <w:rsid w:val="00016BE2"/>
    <w:rsid w:val="000209E6"/>
    <w:rsid w:val="00024E23"/>
    <w:rsid w:val="000269C6"/>
    <w:rsid w:val="00027A5C"/>
    <w:rsid w:val="00031250"/>
    <w:rsid w:val="000328F5"/>
    <w:rsid w:val="000361CD"/>
    <w:rsid w:val="000410A1"/>
    <w:rsid w:val="00042F33"/>
    <w:rsid w:val="00044031"/>
    <w:rsid w:val="0004472D"/>
    <w:rsid w:val="00045575"/>
    <w:rsid w:val="00050598"/>
    <w:rsid w:val="00051023"/>
    <w:rsid w:val="0005115D"/>
    <w:rsid w:val="00051AA8"/>
    <w:rsid w:val="000543E6"/>
    <w:rsid w:val="00054C5C"/>
    <w:rsid w:val="00054E60"/>
    <w:rsid w:val="0005528A"/>
    <w:rsid w:val="00055D55"/>
    <w:rsid w:val="000571DE"/>
    <w:rsid w:val="00057532"/>
    <w:rsid w:val="000609C4"/>
    <w:rsid w:val="00061CC7"/>
    <w:rsid w:val="0006260F"/>
    <w:rsid w:val="00062700"/>
    <w:rsid w:val="000649B0"/>
    <w:rsid w:val="000664CF"/>
    <w:rsid w:val="00070D41"/>
    <w:rsid w:val="000711BA"/>
    <w:rsid w:val="0007285F"/>
    <w:rsid w:val="000744CC"/>
    <w:rsid w:val="00076D60"/>
    <w:rsid w:val="000770B9"/>
    <w:rsid w:val="000771A8"/>
    <w:rsid w:val="0007770A"/>
    <w:rsid w:val="0008336C"/>
    <w:rsid w:val="00086C2D"/>
    <w:rsid w:val="00086DA4"/>
    <w:rsid w:val="00094A60"/>
    <w:rsid w:val="00095BDB"/>
    <w:rsid w:val="00095C73"/>
    <w:rsid w:val="00095CE2"/>
    <w:rsid w:val="00097755"/>
    <w:rsid w:val="00097924"/>
    <w:rsid w:val="000A3C8C"/>
    <w:rsid w:val="000A4178"/>
    <w:rsid w:val="000B0046"/>
    <w:rsid w:val="000B1620"/>
    <w:rsid w:val="000B3322"/>
    <w:rsid w:val="000B4C85"/>
    <w:rsid w:val="000B618A"/>
    <w:rsid w:val="000B6755"/>
    <w:rsid w:val="000C25B1"/>
    <w:rsid w:val="000D099B"/>
    <w:rsid w:val="000D1DD9"/>
    <w:rsid w:val="000D307C"/>
    <w:rsid w:val="000D4A32"/>
    <w:rsid w:val="000D4C00"/>
    <w:rsid w:val="000D75D8"/>
    <w:rsid w:val="000E2A96"/>
    <w:rsid w:val="000E30CC"/>
    <w:rsid w:val="000E3D88"/>
    <w:rsid w:val="000E3DB5"/>
    <w:rsid w:val="000E3E7C"/>
    <w:rsid w:val="000E4337"/>
    <w:rsid w:val="000E4844"/>
    <w:rsid w:val="000E5BA5"/>
    <w:rsid w:val="000E6698"/>
    <w:rsid w:val="000E6C5F"/>
    <w:rsid w:val="000E6D2A"/>
    <w:rsid w:val="000F13F4"/>
    <w:rsid w:val="000F1FAF"/>
    <w:rsid w:val="000F43CA"/>
    <w:rsid w:val="000F4A88"/>
    <w:rsid w:val="000F5EFC"/>
    <w:rsid w:val="001039F0"/>
    <w:rsid w:val="0010498C"/>
    <w:rsid w:val="00104C43"/>
    <w:rsid w:val="00105C06"/>
    <w:rsid w:val="00105F21"/>
    <w:rsid w:val="001070F8"/>
    <w:rsid w:val="00107726"/>
    <w:rsid w:val="001105E7"/>
    <w:rsid w:val="00113A3D"/>
    <w:rsid w:val="00114CBA"/>
    <w:rsid w:val="00115C47"/>
    <w:rsid w:val="00116B4B"/>
    <w:rsid w:val="0012205A"/>
    <w:rsid w:val="00122503"/>
    <w:rsid w:val="0012672C"/>
    <w:rsid w:val="001333BD"/>
    <w:rsid w:val="0013355D"/>
    <w:rsid w:val="00141448"/>
    <w:rsid w:val="00144A3E"/>
    <w:rsid w:val="00145B0B"/>
    <w:rsid w:val="001529CC"/>
    <w:rsid w:val="00154351"/>
    <w:rsid w:val="0015627C"/>
    <w:rsid w:val="00162881"/>
    <w:rsid w:val="00163858"/>
    <w:rsid w:val="00167C0C"/>
    <w:rsid w:val="00167E23"/>
    <w:rsid w:val="0017215F"/>
    <w:rsid w:val="00180EA9"/>
    <w:rsid w:val="001834AE"/>
    <w:rsid w:val="00185480"/>
    <w:rsid w:val="00186EB5"/>
    <w:rsid w:val="00187E1D"/>
    <w:rsid w:val="00191170"/>
    <w:rsid w:val="00192173"/>
    <w:rsid w:val="00192A66"/>
    <w:rsid w:val="00193054"/>
    <w:rsid w:val="0019576C"/>
    <w:rsid w:val="00195AC9"/>
    <w:rsid w:val="00195D99"/>
    <w:rsid w:val="001A1948"/>
    <w:rsid w:val="001A233D"/>
    <w:rsid w:val="001A6818"/>
    <w:rsid w:val="001A7932"/>
    <w:rsid w:val="001B0025"/>
    <w:rsid w:val="001B4700"/>
    <w:rsid w:val="001B51D3"/>
    <w:rsid w:val="001B52B6"/>
    <w:rsid w:val="001B60DF"/>
    <w:rsid w:val="001C0E9E"/>
    <w:rsid w:val="001C403E"/>
    <w:rsid w:val="001C433D"/>
    <w:rsid w:val="001C4A98"/>
    <w:rsid w:val="001D1A11"/>
    <w:rsid w:val="001D246D"/>
    <w:rsid w:val="001D25D7"/>
    <w:rsid w:val="001D6357"/>
    <w:rsid w:val="001D6484"/>
    <w:rsid w:val="001D6614"/>
    <w:rsid w:val="001E0403"/>
    <w:rsid w:val="001E3617"/>
    <w:rsid w:val="001E3876"/>
    <w:rsid w:val="001F3C22"/>
    <w:rsid w:val="001F5F70"/>
    <w:rsid w:val="00202EBE"/>
    <w:rsid w:val="00205F23"/>
    <w:rsid w:val="00210E92"/>
    <w:rsid w:val="00211010"/>
    <w:rsid w:val="0021206D"/>
    <w:rsid w:val="002141A8"/>
    <w:rsid w:val="0021488B"/>
    <w:rsid w:val="0021603A"/>
    <w:rsid w:val="002179CD"/>
    <w:rsid w:val="00221DC4"/>
    <w:rsid w:val="002264A4"/>
    <w:rsid w:val="0022665B"/>
    <w:rsid w:val="0023552E"/>
    <w:rsid w:val="002404A9"/>
    <w:rsid w:val="00241B8E"/>
    <w:rsid w:val="0024279C"/>
    <w:rsid w:val="0024438F"/>
    <w:rsid w:val="002448BC"/>
    <w:rsid w:val="00250BCC"/>
    <w:rsid w:val="00250D4F"/>
    <w:rsid w:val="002528BF"/>
    <w:rsid w:val="0025475A"/>
    <w:rsid w:val="00256E6F"/>
    <w:rsid w:val="0026208E"/>
    <w:rsid w:val="002644E5"/>
    <w:rsid w:val="00266D22"/>
    <w:rsid w:val="002673D2"/>
    <w:rsid w:val="00271BD1"/>
    <w:rsid w:val="002722C9"/>
    <w:rsid w:val="00272E2B"/>
    <w:rsid w:val="002804E6"/>
    <w:rsid w:val="00283358"/>
    <w:rsid w:val="00283EEE"/>
    <w:rsid w:val="0028453E"/>
    <w:rsid w:val="00287A91"/>
    <w:rsid w:val="00295502"/>
    <w:rsid w:val="00295626"/>
    <w:rsid w:val="002960DF"/>
    <w:rsid w:val="00297EF0"/>
    <w:rsid w:val="002A1615"/>
    <w:rsid w:val="002A23CD"/>
    <w:rsid w:val="002A38EF"/>
    <w:rsid w:val="002A4B4A"/>
    <w:rsid w:val="002A6342"/>
    <w:rsid w:val="002A7375"/>
    <w:rsid w:val="002B0725"/>
    <w:rsid w:val="002B1728"/>
    <w:rsid w:val="002B2E6C"/>
    <w:rsid w:val="002B6DA7"/>
    <w:rsid w:val="002B7164"/>
    <w:rsid w:val="002C15AE"/>
    <w:rsid w:val="002C1715"/>
    <w:rsid w:val="002C18A8"/>
    <w:rsid w:val="002C1DD8"/>
    <w:rsid w:val="002C34E8"/>
    <w:rsid w:val="002C3A95"/>
    <w:rsid w:val="002C3FE9"/>
    <w:rsid w:val="002C40C2"/>
    <w:rsid w:val="002C7EC8"/>
    <w:rsid w:val="002D00A0"/>
    <w:rsid w:val="002D2059"/>
    <w:rsid w:val="002D24B2"/>
    <w:rsid w:val="002D312D"/>
    <w:rsid w:val="002D3AD6"/>
    <w:rsid w:val="002E36DF"/>
    <w:rsid w:val="002E4196"/>
    <w:rsid w:val="002F1B92"/>
    <w:rsid w:val="002F2434"/>
    <w:rsid w:val="002F38DF"/>
    <w:rsid w:val="002F3D2A"/>
    <w:rsid w:val="002F4064"/>
    <w:rsid w:val="003015D8"/>
    <w:rsid w:val="003016DA"/>
    <w:rsid w:val="0030485B"/>
    <w:rsid w:val="003049E8"/>
    <w:rsid w:val="00304C27"/>
    <w:rsid w:val="00310555"/>
    <w:rsid w:val="00312B47"/>
    <w:rsid w:val="0031691F"/>
    <w:rsid w:val="00320069"/>
    <w:rsid w:val="0032219F"/>
    <w:rsid w:val="0033047C"/>
    <w:rsid w:val="00334F70"/>
    <w:rsid w:val="00337E30"/>
    <w:rsid w:val="00347ACD"/>
    <w:rsid w:val="00350885"/>
    <w:rsid w:val="003515D9"/>
    <w:rsid w:val="003527D3"/>
    <w:rsid w:val="003550F5"/>
    <w:rsid w:val="003574F5"/>
    <w:rsid w:val="003607CD"/>
    <w:rsid w:val="003621D1"/>
    <w:rsid w:val="003627D7"/>
    <w:rsid w:val="003629EC"/>
    <w:rsid w:val="00364329"/>
    <w:rsid w:val="0036496D"/>
    <w:rsid w:val="003655F4"/>
    <w:rsid w:val="00370E7D"/>
    <w:rsid w:val="003753C7"/>
    <w:rsid w:val="0037550A"/>
    <w:rsid w:val="0037558C"/>
    <w:rsid w:val="00377314"/>
    <w:rsid w:val="003778B8"/>
    <w:rsid w:val="00384912"/>
    <w:rsid w:val="003861CC"/>
    <w:rsid w:val="003870D8"/>
    <w:rsid w:val="00387372"/>
    <w:rsid w:val="00387B83"/>
    <w:rsid w:val="00391463"/>
    <w:rsid w:val="003934FE"/>
    <w:rsid w:val="00397B86"/>
    <w:rsid w:val="003A0CA5"/>
    <w:rsid w:val="003A3EF3"/>
    <w:rsid w:val="003A578F"/>
    <w:rsid w:val="003B1396"/>
    <w:rsid w:val="003B1E31"/>
    <w:rsid w:val="003B4213"/>
    <w:rsid w:val="003B7F4B"/>
    <w:rsid w:val="003C3868"/>
    <w:rsid w:val="003C4503"/>
    <w:rsid w:val="003C48BA"/>
    <w:rsid w:val="003C5160"/>
    <w:rsid w:val="003C5FAF"/>
    <w:rsid w:val="003C7A57"/>
    <w:rsid w:val="003D13F4"/>
    <w:rsid w:val="003D2204"/>
    <w:rsid w:val="003D3A92"/>
    <w:rsid w:val="003D3CB6"/>
    <w:rsid w:val="003D5919"/>
    <w:rsid w:val="003D670A"/>
    <w:rsid w:val="003D6797"/>
    <w:rsid w:val="003D73C4"/>
    <w:rsid w:val="003E00C6"/>
    <w:rsid w:val="003E2EF4"/>
    <w:rsid w:val="003E3364"/>
    <w:rsid w:val="003E5C2C"/>
    <w:rsid w:val="003E6685"/>
    <w:rsid w:val="003E696F"/>
    <w:rsid w:val="003F1E0E"/>
    <w:rsid w:val="003F330E"/>
    <w:rsid w:val="003F36B1"/>
    <w:rsid w:val="003F4B76"/>
    <w:rsid w:val="003F4BE6"/>
    <w:rsid w:val="003F605F"/>
    <w:rsid w:val="003F7236"/>
    <w:rsid w:val="00401F93"/>
    <w:rsid w:val="004106C9"/>
    <w:rsid w:val="004118A2"/>
    <w:rsid w:val="004128D7"/>
    <w:rsid w:val="004142DE"/>
    <w:rsid w:val="00414460"/>
    <w:rsid w:val="004154EC"/>
    <w:rsid w:val="00415FD0"/>
    <w:rsid w:val="004211FD"/>
    <w:rsid w:val="00421A5E"/>
    <w:rsid w:val="0042234A"/>
    <w:rsid w:val="00424505"/>
    <w:rsid w:val="0042567E"/>
    <w:rsid w:val="00425893"/>
    <w:rsid w:val="004307F8"/>
    <w:rsid w:val="0043126C"/>
    <w:rsid w:val="00432276"/>
    <w:rsid w:val="004330C7"/>
    <w:rsid w:val="00436463"/>
    <w:rsid w:val="004364AB"/>
    <w:rsid w:val="00440D29"/>
    <w:rsid w:val="00440E90"/>
    <w:rsid w:val="00445463"/>
    <w:rsid w:val="00453C80"/>
    <w:rsid w:val="0045547D"/>
    <w:rsid w:val="00455CC8"/>
    <w:rsid w:val="00460575"/>
    <w:rsid w:val="004606C4"/>
    <w:rsid w:val="00460F39"/>
    <w:rsid w:val="0046416E"/>
    <w:rsid w:val="00465C6E"/>
    <w:rsid w:val="0046794C"/>
    <w:rsid w:val="00467F10"/>
    <w:rsid w:val="004707C9"/>
    <w:rsid w:val="00471EAC"/>
    <w:rsid w:val="00472A1C"/>
    <w:rsid w:val="00472E8A"/>
    <w:rsid w:val="00483431"/>
    <w:rsid w:val="004843BC"/>
    <w:rsid w:val="00486710"/>
    <w:rsid w:val="00486F29"/>
    <w:rsid w:val="00492483"/>
    <w:rsid w:val="00494C69"/>
    <w:rsid w:val="00494FB0"/>
    <w:rsid w:val="00496C0C"/>
    <w:rsid w:val="00496D12"/>
    <w:rsid w:val="00496EA4"/>
    <w:rsid w:val="00497D1E"/>
    <w:rsid w:val="004A1A19"/>
    <w:rsid w:val="004A344C"/>
    <w:rsid w:val="004A379D"/>
    <w:rsid w:val="004A52E6"/>
    <w:rsid w:val="004A67EB"/>
    <w:rsid w:val="004B0A67"/>
    <w:rsid w:val="004B0F29"/>
    <w:rsid w:val="004B3E5A"/>
    <w:rsid w:val="004B51DD"/>
    <w:rsid w:val="004B739F"/>
    <w:rsid w:val="004B7D97"/>
    <w:rsid w:val="004C198A"/>
    <w:rsid w:val="004C7881"/>
    <w:rsid w:val="004D3261"/>
    <w:rsid w:val="004D57D8"/>
    <w:rsid w:val="004E0CA6"/>
    <w:rsid w:val="004E358B"/>
    <w:rsid w:val="004E3805"/>
    <w:rsid w:val="004E5E8A"/>
    <w:rsid w:val="004F00C5"/>
    <w:rsid w:val="004F19CD"/>
    <w:rsid w:val="004F24CC"/>
    <w:rsid w:val="004F50F7"/>
    <w:rsid w:val="00500733"/>
    <w:rsid w:val="00500F35"/>
    <w:rsid w:val="00502165"/>
    <w:rsid w:val="00503D50"/>
    <w:rsid w:val="00506F28"/>
    <w:rsid w:val="00507AA3"/>
    <w:rsid w:val="00515E33"/>
    <w:rsid w:val="00522547"/>
    <w:rsid w:val="005240F3"/>
    <w:rsid w:val="005306A6"/>
    <w:rsid w:val="0053141B"/>
    <w:rsid w:val="00531D43"/>
    <w:rsid w:val="00532CCD"/>
    <w:rsid w:val="00533AC4"/>
    <w:rsid w:val="005359AE"/>
    <w:rsid w:val="00540403"/>
    <w:rsid w:val="00540CD8"/>
    <w:rsid w:val="00543024"/>
    <w:rsid w:val="00547DF2"/>
    <w:rsid w:val="005500B2"/>
    <w:rsid w:val="00551BBC"/>
    <w:rsid w:val="00552132"/>
    <w:rsid w:val="00552C21"/>
    <w:rsid w:val="00552E38"/>
    <w:rsid w:val="00561414"/>
    <w:rsid w:val="00561770"/>
    <w:rsid w:val="0056191F"/>
    <w:rsid w:val="0057118F"/>
    <w:rsid w:val="00571B1E"/>
    <w:rsid w:val="00575736"/>
    <w:rsid w:val="005757E5"/>
    <w:rsid w:val="00581852"/>
    <w:rsid w:val="00583DAC"/>
    <w:rsid w:val="0058591B"/>
    <w:rsid w:val="005904A7"/>
    <w:rsid w:val="005932C4"/>
    <w:rsid w:val="00596081"/>
    <w:rsid w:val="00597DAD"/>
    <w:rsid w:val="005A4F1B"/>
    <w:rsid w:val="005A76BB"/>
    <w:rsid w:val="005A77DA"/>
    <w:rsid w:val="005B042B"/>
    <w:rsid w:val="005B20CD"/>
    <w:rsid w:val="005B4920"/>
    <w:rsid w:val="005B6DEE"/>
    <w:rsid w:val="005C10B0"/>
    <w:rsid w:val="005C4579"/>
    <w:rsid w:val="005C7E99"/>
    <w:rsid w:val="005D1A74"/>
    <w:rsid w:val="005D5447"/>
    <w:rsid w:val="005D5FA7"/>
    <w:rsid w:val="005E1874"/>
    <w:rsid w:val="005E2287"/>
    <w:rsid w:val="005E400A"/>
    <w:rsid w:val="005E4D02"/>
    <w:rsid w:val="005E5164"/>
    <w:rsid w:val="005E567B"/>
    <w:rsid w:val="005E6C09"/>
    <w:rsid w:val="005E6FAA"/>
    <w:rsid w:val="005E7B58"/>
    <w:rsid w:val="005F125B"/>
    <w:rsid w:val="005F240F"/>
    <w:rsid w:val="005F51FB"/>
    <w:rsid w:val="005F56AF"/>
    <w:rsid w:val="005F7D12"/>
    <w:rsid w:val="00603112"/>
    <w:rsid w:val="006135D5"/>
    <w:rsid w:val="00616530"/>
    <w:rsid w:val="006205D0"/>
    <w:rsid w:val="00621D21"/>
    <w:rsid w:val="0062270D"/>
    <w:rsid w:val="00625679"/>
    <w:rsid w:val="006260B4"/>
    <w:rsid w:val="00626775"/>
    <w:rsid w:val="006270E6"/>
    <w:rsid w:val="00631C50"/>
    <w:rsid w:val="00631DBC"/>
    <w:rsid w:val="00633E45"/>
    <w:rsid w:val="00636D55"/>
    <w:rsid w:val="006509F1"/>
    <w:rsid w:val="006510E1"/>
    <w:rsid w:val="00653CF6"/>
    <w:rsid w:val="00656729"/>
    <w:rsid w:val="00662EF1"/>
    <w:rsid w:val="006674FA"/>
    <w:rsid w:val="00675103"/>
    <w:rsid w:val="00675570"/>
    <w:rsid w:val="0068017C"/>
    <w:rsid w:val="00680990"/>
    <w:rsid w:val="006821C8"/>
    <w:rsid w:val="006835D5"/>
    <w:rsid w:val="00686640"/>
    <w:rsid w:val="0068692B"/>
    <w:rsid w:val="00690170"/>
    <w:rsid w:val="00690C03"/>
    <w:rsid w:val="0069246A"/>
    <w:rsid w:val="00693618"/>
    <w:rsid w:val="006950DB"/>
    <w:rsid w:val="006A1617"/>
    <w:rsid w:val="006A18C8"/>
    <w:rsid w:val="006A21DD"/>
    <w:rsid w:val="006A425F"/>
    <w:rsid w:val="006B0DAE"/>
    <w:rsid w:val="006B38DE"/>
    <w:rsid w:val="006B6564"/>
    <w:rsid w:val="006B6CEE"/>
    <w:rsid w:val="006B7825"/>
    <w:rsid w:val="006B7E0B"/>
    <w:rsid w:val="006C3973"/>
    <w:rsid w:val="006C4B1C"/>
    <w:rsid w:val="006D0C83"/>
    <w:rsid w:val="006D1973"/>
    <w:rsid w:val="006D1DB1"/>
    <w:rsid w:val="006D2BB6"/>
    <w:rsid w:val="006D3582"/>
    <w:rsid w:val="006D459C"/>
    <w:rsid w:val="006D67E8"/>
    <w:rsid w:val="006E2668"/>
    <w:rsid w:val="006E2991"/>
    <w:rsid w:val="006E5FD9"/>
    <w:rsid w:val="006E633F"/>
    <w:rsid w:val="006E6C0D"/>
    <w:rsid w:val="006E6E21"/>
    <w:rsid w:val="006E7C4A"/>
    <w:rsid w:val="006E7E51"/>
    <w:rsid w:val="006F1F1C"/>
    <w:rsid w:val="006F2243"/>
    <w:rsid w:val="006F294B"/>
    <w:rsid w:val="006F6E91"/>
    <w:rsid w:val="007009BD"/>
    <w:rsid w:val="00701022"/>
    <w:rsid w:val="0070256C"/>
    <w:rsid w:val="00705798"/>
    <w:rsid w:val="00707173"/>
    <w:rsid w:val="007077CF"/>
    <w:rsid w:val="00710B90"/>
    <w:rsid w:val="00725EF5"/>
    <w:rsid w:val="007303C2"/>
    <w:rsid w:val="00732B87"/>
    <w:rsid w:val="0074029C"/>
    <w:rsid w:val="0074090C"/>
    <w:rsid w:val="00740A43"/>
    <w:rsid w:val="00741441"/>
    <w:rsid w:val="00746250"/>
    <w:rsid w:val="00754570"/>
    <w:rsid w:val="00755648"/>
    <w:rsid w:val="00755FA0"/>
    <w:rsid w:val="00756EFB"/>
    <w:rsid w:val="00757B22"/>
    <w:rsid w:val="00761050"/>
    <w:rsid w:val="00761D31"/>
    <w:rsid w:val="0076323A"/>
    <w:rsid w:val="00767298"/>
    <w:rsid w:val="00767AFF"/>
    <w:rsid w:val="00770976"/>
    <w:rsid w:val="007725D5"/>
    <w:rsid w:val="00772FFA"/>
    <w:rsid w:val="007739F4"/>
    <w:rsid w:val="007750AE"/>
    <w:rsid w:val="007766AC"/>
    <w:rsid w:val="00777078"/>
    <w:rsid w:val="00780261"/>
    <w:rsid w:val="00780411"/>
    <w:rsid w:val="007859D1"/>
    <w:rsid w:val="0078785D"/>
    <w:rsid w:val="00787D3E"/>
    <w:rsid w:val="00790B86"/>
    <w:rsid w:val="00791A41"/>
    <w:rsid w:val="00792510"/>
    <w:rsid w:val="00793A72"/>
    <w:rsid w:val="00797B91"/>
    <w:rsid w:val="007A546D"/>
    <w:rsid w:val="007A5B71"/>
    <w:rsid w:val="007B0D59"/>
    <w:rsid w:val="007B629E"/>
    <w:rsid w:val="007B7427"/>
    <w:rsid w:val="007B7C5A"/>
    <w:rsid w:val="007C0126"/>
    <w:rsid w:val="007C3AE6"/>
    <w:rsid w:val="007C43EE"/>
    <w:rsid w:val="007D1B8D"/>
    <w:rsid w:val="007D1EAA"/>
    <w:rsid w:val="007D2F14"/>
    <w:rsid w:val="007D5094"/>
    <w:rsid w:val="007D695A"/>
    <w:rsid w:val="007E013B"/>
    <w:rsid w:val="007E46D2"/>
    <w:rsid w:val="007E4879"/>
    <w:rsid w:val="007E48C3"/>
    <w:rsid w:val="007E628C"/>
    <w:rsid w:val="007E7277"/>
    <w:rsid w:val="007E7EE3"/>
    <w:rsid w:val="007F03A6"/>
    <w:rsid w:val="007F3538"/>
    <w:rsid w:val="00802D86"/>
    <w:rsid w:val="00806E7A"/>
    <w:rsid w:val="0081086D"/>
    <w:rsid w:val="00812D0F"/>
    <w:rsid w:val="00813B9B"/>
    <w:rsid w:val="00815336"/>
    <w:rsid w:val="0081659F"/>
    <w:rsid w:val="00817255"/>
    <w:rsid w:val="008208E4"/>
    <w:rsid w:val="00820A98"/>
    <w:rsid w:val="00822592"/>
    <w:rsid w:val="0082422C"/>
    <w:rsid w:val="00825A6D"/>
    <w:rsid w:val="0082788E"/>
    <w:rsid w:val="00830B4D"/>
    <w:rsid w:val="0083106D"/>
    <w:rsid w:val="008310E9"/>
    <w:rsid w:val="00831C0E"/>
    <w:rsid w:val="00832080"/>
    <w:rsid w:val="00833442"/>
    <w:rsid w:val="008354CB"/>
    <w:rsid w:val="00836690"/>
    <w:rsid w:val="00837715"/>
    <w:rsid w:val="00844ED3"/>
    <w:rsid w:val="008456F9"/>
    <w:rsid w:val="00854CD4"/>
    <w:rsid w:val="0085765E"/>
    <w:rsid w:val="008610F7"/>
    <w:rsid w:val="00880BFD"/>
    <w:rsid w:val="00881CC5"/>
    <w:rsid w:val="008825F4"/>
    <w:rsid w:val="00882BF9"/>
    <w:rsid w:val="00884AD5"/>
    <w:rsid w:val="008858D4"/>
    <w:rsid w:val="008861CC"/>
    <w:rsid w:val="00886B7A"/>
    <w:rsid w:val="00887163"/>
    <w:rsid w:val="00887918"/>
    <w:rsid w:val="008905D2"/>
    <w:rsid w:val="008911B8"/>
    <w:rsid w:val="0089477A"/>
    <w:rsid w:val="00895533"/>
    <w:rsid w:val="00896622"/>
    <w:rsid w:val="00897D96"/>
    <w:rsid w:val="008A067E"/>
    <w:rsid w:val="008A0818"/>
    <w:rsid w:val="008A0A30"/>
    <w:rsid w:val="008A17D8"/>
    <w:rsid w:val="008A2CA7"/>
    <w:rsid w:val="008A40E7"/>
    <w:rsid w:val="008A5D2A"/>
    <w:rsid w:val="008B6335"/>
    <w:rsid w:val="008C1267"/>
    <w:rsid w:val="008C26DD"/>
    <w:rsid w:val="008C2D56"/>
    <w:rsid w:val="008C3599"/>
    <w:rsid w:val="008C3CFF"/>
    <w:rsid w:val="008C421D"/>
    <w:rsid w:val="008C6AC3"/>
    <w:rsid w:val="008D34DB"/>
    <w:rsid w:val="008D460C"/>
    <w:rsid w:val="008D4832"/>
    <w:rsid w:val="008D54A8"/>
    <w:rsid w:val="008D60E3"/>
    <w:rsid w:val="008D6442"/>
    <w:rsid w:val="008D6BFE"/>
    <w:rsid w:val="008D6C33"/>
    <w:rsid w:val="008D7C8C"/>
    <w:rsid w:val="008E01A2"/>
    <w:rsid w:val="008F4ED8"/>
    <w:rsid w:val="008F5281"/>
    <w:rsid w:val="008F5AB5"/>
    <w:rsid w:val="008F63ED"/>
    <w:rsid w:val="008F662E"/>
    <w:rsid w:val="00900B7C"/>
    <w:rsid w:val="00901A4F"/>
    <w:rsid w:val="009053A5"/>
    <w:rsid w:val="009124FC"/>
    <w:rsid w:val="0091340F"/>
    <w:rsid w:val="00921D20"/>
    <w:rsid w:val="0092608D"/>
    <w:rsid w:val="0092644C"/>
    <w:rsid w:val="0093183B"/>
    <w:rsid w:val="00935502"/>
    <w:rsid w:val="0094615D"/>
    <w:rsid w:val="00950A00"/>
    <w:rsid w:val="009512A7"/>
    <w:rsid w:val="00951E16"/>
    <w:rsid w:val="009533E2"/>
    <w:rsid w:val="00954B92"/>
    <w:rsid w:val="00955F55"/>
    <w:rsid w:val="00957D5E"/>
    <w:rsid w:val="00960487"/>
    <w:rsid w:val="009611AA"/>
    <w:rsid w:val="0096484D"/>
    <w:rsid w:val="00965523"/>
    <w:rsid w:val="009678C8"/>
    <w:rsid w:val="00970A5F"/>
    <w:rsid w:val="0097148F"/>
    <w:rsid w:val="00973AF2"/>
    <w:rsid w:val="0097456B"/>
    <w:rsid w:val="00981A91"/>
    <w:rsid w:val="009832CA"/>
    <w:rsid w:val="00986A6B"/>
    <w:rsid w:val="009904B5"/>
    <w:rsid w:val="00993AE6"/>
    <w:rsid w:val="00996872"/>
    <w:rsid w:val="00997FCC"/>
    <w:rsid w:val="009A0743"/>
    <w:rsid w:val="009A1680"/>
    <w:rsid w:val="009A3417"/>
    <w:rsid w:val="009A3519"/>
    <w:rsid w:val="009A517F"/>
    <w:rsid w:val="009A51DF"/>
    <w:rsid w:val="009B365C"/>
    <w:rsid w:val="009B3DF2"/>
    <w:rsid w:val="009B4534"/>
    <w:rsid w:val="009B7ADE"/>
    <w:rsid w:val="009B7C73"/>
    <w:rsid w:val="009C1E9D"/>
    <w:rsid w:val="009C2C85"/>
    <w:rsid w:val="009C455B"/>
    <w:rsid w:val="009C514D"/>
    <w:rsid w:val="009C58C4"/>
    <w:rsid w:val="009C6637"/>
    <w:rsid w:val="009D01D0"/>
    <w:rsid w:val="009D3105"/>
    <w:rsid w:val="009D4D01"/>
    <w:rsid w:val="009D5D3A"/>
    <w:rsid w:val="009E16B6"/>
    <w:rsid w:val="009E307D"/>
    <w:rsid w:val="009E6521"/>
    <w:rsid w:val="009F403E"/>
    <w:rsid w:val="009F4DF3"/>
    <w:rsid w:val="009F6082"/>
    <w:rsid w:val="00A053F7"/>
    <w:rsid w:val="00A06711"/>
    <w:rsid w:val="00A1006E"/>
    <w:rsid w:val="00A1194E"/>
    <w:rsid w:val="00A1384A"/>
    <w:rsid w:val="00A14D66"/>
    <w:rsid w:val="00A1630A"/>
    <w:rsid w:val="00A1715C"/>
    <w:rsid w:val="00A213EA"/>
    <w:rsid w:val="00A2375A"/>
    <w:rsid w:val="00A238AC"/>
    <w:rsid w:val="00A2525F"/>
    <w:rsid w:val="00A258DB"/>
    <w:rsid w:val="00A27C1E"/>
    <w:rsid w:val="00A30A15"/>
    <w:rsid w:val="00A325A1"/>
    <w:rsid w:val="00A32EDB"/>
    <w:rsid w:val="00A333EA"/>
    <w:rsid w:val="00A37B9A"/>
    <w:rsid w:val="00A4223B"/>
    <w:rsid w:val="00A42FB9"/>
    <w:rsid w:val="00A43261"/>
    <w:rsid w:val="00A437A1"/>
    <w:rsid w:val="00A4565F"/>
    <w:rsid w:val="00A4691B"/>
    <w:rsid w:val="00A52A97"/>
    <w:rsid w:val="00A53407"/>
    <w:rsid w:val="00A6420C"/>
    <w:rsid w:val="00A67121"/>
    <w:rsid w:val="00A700EB"/>
    <w:rsid w:val="00A72067"/>
    <w:rsid w:val="00A738B6"/>
    <w:rsid w:val="00A739AE"/>
    <w:rsid w:val="00A768BB"/>
    <w:rsid w:val="00A76ED0"/>
    <w:rsid w:val="00A77EBE"/>
    <w:rsid w:val="00A83765"/>
    <w:rsid w:val="00A83842"/>
    <w:rsid w:val="00A8431C"/>
    <w:rsid w:val="00A901DE"/>
    <w:rsid w:val="00A94F71"/>
    <w:rsid w:val="00AA0EB7"/>
    <w:rsid w:val="00AA1C3C"/>
    <w:rsid w:val="00AA22D7"/>
    <w:rsid w:val="00AA35BB"/>
    <w:rsid w:val="00AA3DBA"/>
    <w:rsid w:val="00AA5420"/>
    <w:rsid w:val="00AA5681"/>
    <w:rsid w:val="00AA56F8"/>
    <w:rsid w:val="00AA58AD"/>
    <w:rsid w:val="00AA764D"/>
    <w:rsid w:val="00AB5546"/>
    <w:rsid w:val="00AB7068"/>
    <w:rsid w:val="00AC11BD"/>
    <w:rsid w:val="00AC2A90"/>
    <w:rsid w:val="00AC3818"/>
    <w:rsid w:val="00AD070E"/>
    <w:rsid w:val="00AD3775"/>
    <w:rsid w:val="00AD3C55"/>
    <w:rsid w:val="00AD3CBB"/>
    <w:rsid w:val="00AD41D6"/>
    <w:rsid w:val="00AD7BD8"/>
    <w:rsid w:val="00AE317D"/>
    <w:rsid w:val="00AE3206"/>
    <w:rsid w:val="00AE3F05"/>
    <w:rsid w:val="00AE4FAA"/>
    <w:rsid w:val="00AE5065"/>
    <w:rsid w:val="00AE655B"/>
    <w:rsid w:val="00AF08D9"/>
    <w:rsid w:val="00AF231C"/>
    <w:rsid w:val="00AF561F"/>
    <w:rsid w:val="00AF672C"/>
    <w:rsid w:val="00AF7203"/>
    <w:rsid w:val="00AF75B7"/>
    <w:rsid w:val="00B04C51"/>
    <w:rsid w:val="00B04E74"/>
    <w:rsid w:val="00B050DF"/>
    <w:rsid w:val="00B06799"/>
    <w:rsid w:val="00B0722F"/>
    <w:rsid w:val="00B078DF"/>
    <w:rsid w:val="00B07D5E"/>
    <w:rsid w:val="00B1010C"/>
    <w:rsid w:val="00B10A0C"/>
    <w:rsid w:val="00B10E68"/>
    <w:rsid w:val="00B11AB0"/>
    <w:rsid w:val="00B12416"/>
    <w:rsid w:val="00B12B08"/>
    <w:rsid w:val="00B13738"/>
    <w:rsid w:val="00B166F4"/>
    <w:rsid w:val="00B16D66"/>
    <w:rsid w:val="00B170CF"/>
    <w:rsid w:val="00B228FF"/>
    <w:rsid w:val="00B234CB"/>
    <w:rsid w:val="00B25288"/>
    <w:rsid w:val="00B263F9"/>
    <w:rsid w:val="00B26AF6"/>
    <w:rsid w:val="00B276B8"/>
    <w:rsid w:val="00B27AAB"/>
    <w:rsid w:val="00B31DAE"/>
    <w:rsid w:val="00B3718B"/>
    <w:rsid w:val="00B406BB"/>
    <w:rsid w:val="00B42D1C"/>
    <w:rsid w:val="00B46A0A"/>
    <w:rsid w:val="00B51E44"/>
    <w:rsid w:val="00B52484"/>
    <w:rsid w:val="00B549DD"/>
    <w:rsid w:val="00B5659C"/>
    <w:rsid w:val="00B56937"/>
    <w:rsid w:val="00B6182C"/>
    <w:rsid w:val="00B62CBD"/>
    <w:rsid w:val="00B639B3"/>
    <w:rsid w:val="00B6707E"/>
    <w:rsid w:val="00B677F2"/>
    <w:rsid w:val="00B73F1F"/>
    <w:rsid w:val="00B75AC2"/>
    <w:rsid w:val="00B75D70"/>
    <w:rsid w:val="00B84107"/>
    <w:rsid w:val="00B85B5E"/>
    <w:rsid w:val="00B85BB7"/>
    <w:rsid w:val="00B85FF1"/>
    <w:rsid w:val="00B9104C"/>
    <w:rsid w:val="00B919C2"/>
    <w:rsid w:val="00B92579"/>
    <w:rsid w:val="00B93082"/>
    <w:rsid w:val="00B93C42"/>
    <w:rsid w:val="00B94EF8"/>
    <w:rsid w:val="00BA3B7D"/>
    <w:rsid w:val="00BA4654"/>
    <w:rsid w:val="00BA7705"/>
    <w:rsid w:val="00BA7A43"/>
    <w:rsid w:val="00BB128E"/>
    <w:rsid w:val="00BB1F24"/>
    <w:rsid w:val="00BB2396"/>
    <w:rsid w:val="00BB317A"/>
    <w:rsid w:val="00BB7A42"/>
    <w:rsid w:val="00BC0B9E"/>
    <w:rsid w:val="00BC2914"/>
    <w:rsid w:val="00BC3016"/>
    <w:rsid w:val="00BC3077"/>
    <w:rsid w:val="00BC5451"/>
    <w:rsid w:val="00BC5D8B"/>
    <w:rsid w:val="00BC6CCA"/>
    <w:rsid w:val="00BC7DC2"/>
    <w:rsid w:val="00BD0CAA"/>
    <w:rsid w:val="00BD24D7"/>
    <w:rsid w:val="00BD25B7"/>
    <w:rsid w:val="00BD2DD8"/>
    <w:rsid w:val="00BD33D8"/>
    <w:rsid w:val="00BD34A6"/>
    <w:rsid w:val="00BE36E0"/>
    <w:rsid w:val="00BE44EA"/>
    <w:rsid w:val="00BE5B7F"/>
    <w:rsid w:val="00BE65F9"/>
    <w:rsid w:val="00BE6621"/>
    <w:rsid w:val="00BE6775"/>
    <w:rsid w:val="00BE6C3E"/>
    <w:rsid w:val="00BF06B7"/>
    <w:rsid w:val="00BF37A3"/>
    <w:rsid w:val="00BF55FB"/>
    <w:rsid w:val="00C00473"/>
    <w:rsid w:val="00C00A63"/>
    <w:rsid w:val="00C047A0"/>
    <w:rsid w:val="00C04DA5"/>
    <w:rsid w:val="00C0516B"/>
    <w:rsid w:val="00C05491"/>
    <w:rsid w:val="00C05EB7"/>
    <w:rsid w:val="00C10C96"/>
    <w:rsid w:val="00C15051"/>
    <w:rsid w:val="00C1655F"/>
    <w:rsid w:val="00C1677B"/>
    <w:rsid w:val="00C21A14"/>
    <w:rsid w:val="00C21F65"/>
    <w:rsid w:val="00C2542E"/>
    <w:rsid w:val="00C25B88"/>
    <w:rsid w:val="00C31CCE"/>
    <w:rsid w:val="00C36B97"/>
    <w:rsid w:val="00C37048"/>
    <w:rsid w:val="00C4146F"/>
    <w:rsid w:val="00C418FA"/>
    <w:rsid w:val="00C431FA"/>
    <w:rsid w:val="00C432A4"/>
    <w:rsid w:val="00C46DB4"/>
    <w:rsid w:val="00C471A7"/>
    <w:rsid w:val="00C65CB6"/>
    <w:rsid w:val="00C668E6"/>
    <w:rsid w:val="00C70805"/>
    <w:rsid w:val="00C71D37"/>
    <w:rsid w:val="00C71DF8"/>
    <w:rsid w:val="00C72222"/>
    <w:rsid w:val="00C760AE"/>
    <w:rsid w:val="00C76363"/>
    <w:rsid w:val="00C82833"/>
    <w:rsid w:val="00C84353"/>
    <w:rsid w:val="00C844DF"/>
    <w:rsid w:val="00C84FF2"/>
    <w:rsid w:val="00C85D3A"/>
    <w:rsid w:val="00C86AEC"/>
    <w:rsid w:val="00C87EEB"/>
    <w:rsid w:val="00C92355"/>
    <w:rsid w:val="00C9490F"/>
    <w:rsid w:val="00C96F99"/>
    <w:rsid w:val="00CA2060"/>
    <w:rsid w:val="00CA4682"/>
    <w:rsid w:val="00CA4AD7"/>
    <w:rsid w:val="00CB133E"/>
    <w:rsid w:val="00CB16D2"/>
    <w:rsid w:val="00CB17C2"/>
    <w:rsid w:val="00CB46FF"/>
    <w:rsid w:val="00CB50A0"/>
    <w:rsid w:val="00CC1A30"/>
    <w:rsid w:val="00CC5248"/>
    <w:rsid w:val="00CC6B03"/>
    <w:rsid w:val="00CD2CD0"/>
    <w:rsid w:val="00CD4B4B"/>
    <w:rsid w:val="00CD4CB9"/>
    <w:rsid w:val="00CE0FF8"/>
    <w:rsid w:val="00CE430A"/>
    <w:rsid w:val="00CE49CC"/>
    <w:rsid w:val="00CE4B23"/>
    <w:rsid w:val="00CE5462"/>
    <w:rsid w:val="00CE5F6F"/>
    <w:rsid w:val="00CE653E"/>
    <w:rsid w:val="00CE6597"/>
    <w:rsid w:val="00CF042E"/>
    <w:rsid w:val="00CF1663"/>
    <w:rsid w:val="00CF7F0C"/>
    <w:rsid w:val="00D01237"/>
    <w:rsid w:val="00D03619"/>
    <w:rsid w:val="00D05AC9"/>
    <w:rsid w:val="00D073FA"/>
    <w:rsid w:val="00D14082"/>
    <w:rsid w:val="00D14B1C"/>
    <w:rsid w:val="00D16439"/>
    <w:rsid w:val="00D16C01"/>
    <w:rsid w:val="00D22CC8"/>
    <w:rsid w:val="00D23EF4"/>
    <w:rsid w:val="00D27015"/>
    <w:rsid w:val="00D303EB"/>
    <w:rsid w:val="00D37066"/>
    <w:rsid w:val="00D428CA"/>
    <w:rsid w:val="00D43A53"/>
    <w:rsid w:val="00D47D27"/>
    <w:rsid w:val="00D528E0"/>
    <w:rsid w:val="00D54993"/>
    <w:rsid w:val="00D54BCC"/>
    <w:rsid w:val="00D56147"/>
    <w:rsid w:val="00D60116"/>
    <w:rsid w:val="00D62A2A"/>
    <w:rsid w:val="00D635D9"/>
    <w:rsid w:val="00D63DE8"/>
    <w:rsid w:val="00D7008F"/>
    <w:rsid w:val="00D7494E"/>
    <w:rsid w:val="00D7597E"/>
    <w:rsid w:val="00D75FC4"/>
    <w:rsid w:val="00D769A0"/>
    <w:rsid w:val="00D833D7"/>
    <w:rsid w:val="00D83832"/>
    <w:rsid w:val="00D8391A"/>
    <w:rsid w:val="00D84D3D"/>
    <w:rsid w:val="00D8506F"/>
    <w:rsid w:val="00D861A0"/>
    <w:rsid w:val="00D9026C"/>
    <w:rsid w:val="00D91B34"/>
    <w:rsid w:val="00DA1422"/>
    <w:rsid w:val="00DB260A"/>
    <w:rsid w:val="00DC07DF"/>
    <w:rsid w:val="00DC0952"/>
    <w:rsid w:val="00DC13BD"/>
    <w:rsid w:val="00DC1BCF"/>
    <w:rsid w:val="00DC24CF"/>
    <w:rsid w:val="00DC44C3"/>
    <w:rsid w:val="00DC4621"/>
    <w:rsid w:val="00DC546D"/>
    <w:rsid w:val="00DD181A"/>
    <w:rsid w:val="00DD4DE0"/>
    <w:rsid w:val="00DD4DF4"/>
    <w:rsid w:val="00DD59A5"/>
    <w:rsid w:val="00DD79FC"/>
    <w:rsid w:val="00DE19E8"/>
    <w:rsid w:val="00DE301E"/>
    <w:rsid w:val="00DE429A"/>
    <w:rsid w:val="00DE5414"/>
    <w:rsid w:val="00DF0049"/>
    <w:rsid w:val="00DF1AFC"/>
    <w:rsid w:val="00DF2AD9"/>
    <w:rsid w:val="00DF5751"/>
    <w:rsid w:val="00DF5AB3"/>
    <w:rsid w:val="00DF6D05"/>
    <w:rsid w:val="00E06484"/>
    <w:rsid w:val="00E072AB"/>
    <w:rsid w:val="00E1059E"/>
    <w:rsid w:val="00E1187E"/>
    <w:rsid w:val="00E11AFF"/>
    <w:rsid w:val="00E14407"/>
    <w:rsid w:val="00E20076"/>
    <w:rsid w:val="00E20634"/>
    <w:rsid w:val="00E20780"/>
    <w:rsid w:val="00E21FC7"/>
    <w:rsid w:val="00E227ED"/>
    <w:rsid w:val="00E238A7"/>
    <w:rsid w:val="00E24911"/>
    <w:rsid w:val="00E24F3B"/>
    <w:rsid w:val="00E25A12"/>
    <w:rsid w:val="00E2789F"/>
    <w:rsid w:val="00E30AC7"/>
    <w:rsid w:val="00E312EF"/>
    <w:rsid w:val="00E33EB0"/>
    <w:rsid w:val="00E35422"/>
    <w:rsid w:val="00E358DD"/>
    <w:rsid w:val="00E361D2"/>
    <w:rsid w:val="00E43FAB"/>
    <w:rsid w:val="00E44316"/>
    <w:rsid w:val="00E444DF"/>
    <w:rsid w:val="00E4764B"/>
    <w:rsid w:val="00E50845"/>
    <w:rsid w:val="00E51329"/>
    <w:rsid w:val="00E51396"/>
    <w:rsid w:val="00E53373"/>
    <w:rsid w:val="00E537A0"/>
    <w:rsid w:val="00E5634B"/>
    <w:rsid w:val="00E60483"/>
    <w:rsid w:val="00E61257"/>
    <w:rsid w:val="00E74ABB"/>
    <w:rsid w:val="00E75794"/>
    <w:rsid w:val="00E808F9"/>
    <w:rsid w:val="00E842D6"/>
    <w:rsid w:val="00E85ECE"/>
    <w:rsid w:val="00E925C3"/>
    <w:rsid w:val="00E92637"/>
    <w:rsid w:val="00E9557E"/>
    <w:rsid w:val="00EA209C"/>
    <w:rsid w:val="00EA36ED"/>
    <w:rsid w:val="00EB1846"/>
    <w:rsid w:val="00EB23CF"/>
    <w:rsid w:val="00EB32CF"/>
    <w:rsid w:val="00EB5E53"/>
    <w:rsid w:val="00EB795A"/>
    <w:rsid w:val="00EC3323"/>
    <w:rsid w:val="00EC5A16"/>
    <w:rsid w:val="00EC7150"/>
    <w:rsid w:val="00ED2E0A"/>
    <w:rsid w:val="00ED330C"/>
    <w:rsid w:val="00ED454D"/>
    <w:rsid w:val="00ED600C"/>
    <w:rsid w:val="00ED6F0B"/>
    <w:rsid w:val="00ED7878"/>
    <w:rsid w:val="00EE288E"/>
    <w:rsid w:val="00EE37AE"/>
    <w:rsid w:val="00EE4963"/>
    <w:rsid w:val="00EF1604"/>
    <w:rsid w:val="00EF2033"/>
    <w:rsid w:val="00EF54A9"/>
    <w:rsid w:val="00EF5C93"/>
    <w:rsid w:val="00EF663C"/>
    <w:rsid w:val="00F0087B"/>
    <w:rsid w:val="00F03220"/>
    <w:rsid w:val="00F04571"/>
    <w:rsid w:val="00F04596"/>
    <w:rsid w:val="00F04A2F"/>
    <w:rsid w:val="00F1047A"/>
    <w:rsid w:val="00F1240B"/>
    <w:rsid w:val="00F12715"/>
    <w:rsid w:val="00F179A1"/>
    <w:rsid w:val="00F2025D"/>
    <w:rsid w:val="00F208C8"/>
    <w:rsid w:val="00F233C7"/>
    <w:rsid w:val="00F2487D"/>
    <w:rsid w:val="00F25804"/>
    <w:rsid w:val="00F26952"/>
    <w:rsid w:val="00F26C76"/>
    <w:rsid w:val="00F3031C"/>
    <w:rsid w:val="00F36CDF"/>
    <w:rsid w:val="00F37744"/>
    <w:rsid w:val="00F42E7F"/>
    <w:rsid w:val="00F44806"/>
    <w:rsid w:val="00F46859"/>
    <w:rsid w:val="00F47A1E"/>
    <w:rsid w:val="00F53068"/>
    <w:rsid w:val="00F537F3"/>
    <w:rsid w:val="00F53F87"/>
    <w:rsid w:val="00F5460E"/>
    <w:rsid w:val="00F555FB"/>
    <w:rsid w:val="00F573C1"/>
    <w:rsid w:val="00F65738"/>
    <w:rsid w:val="00F67931"/>
    <w:rsid w:val="00F70005"/>
    <w:rsid w:val="00F72FA9"/>
    <w:rsid w:val="00F736CE"/>
    <w:rsid w:val="00F76B1F"/>
    <w:rsid w:val="00F809A7"/>
    <w:rsid w:val="00F8298D"/>
    <w:rsid w:val="00F8544E"/>
    <w:rsid w:val="00F86627"/>
    <w:rsid w:val="00F94AA6"/>
    <w:rsid w:val="00F954B7"/>
    <w:rsid w:val="00F962EA"/>
    <w:rsid w:val="00F966EC"/>
    <w:rsid w:val="00F97A45"/>
    <w:rsid w:val="00FA44F8"/>
    <w:rsid w:val="00FA6066"/>
    <w:rsid w:val="00FA61D7"/>
    <w:rsid w:val="00FB0A44"/>
    <w:rsid w:val="00FB0FD4"/>
    <w:rsid w:val="00FB6AC2"/>
    <w:rsid w:val="00FC0027"/>
    <w:rsid w:val="00FC6E1E"/>
    <w:rsid w:val="00FC79A8"/>
    <w:rsid w:val="00FD1A20"/>
    <w:rsid w:val="00FD300A"/>
    <w:rsid w:val="00FD3ADA"/>
    <w:rsid w:val="00FD7B6C"/>
    <w:rsid w:val="00FD7E24"/>
    <w:rsid w:val="00FE1CB2"/>
    <w:rsid w:val="00FE3AAB"/>
    <w:rsid w:val="00FE518E"/>
    <w:rsid w:val="00FF1CB1"/>
    <w:rsid w:val="00FF309C"/>
    <w:rsid w:val="00FF357F"/>
    <w:rsid w:val="00FF3F41"/>
    <w:rsid w:val="00FF73D3"/>
    <w:rsid w:val="01212A04"/>
    <w:rsid w:val="01855960"/>
    <w:rsid w:val="026A362D"/>
    <w:rsid w:val="03927434"/>
    <w:rsid w:val="049E4729"/>
    <w:rsid w:val="04A439AD"/>
    <w:rsid w:val="05967CA9"/>
    <w:rsid w:val="07830B7A"/>
    <w:rsid w:val="07B91822"/>
    <w:rsid w:val="0835739F"/>
    <w:rsid w:val="09E84CC7"/>
    <w:rsid w:val="0DFB3251"/>
    <w:rsid w:val="0F5B6A1E"/>
    <w:rsid w:val="102C4067"/>
    <w:rsid w:val="11200185"/>
    <w:rsid w:val="13160276"/>
    <w:rsid w:val="1888745D"/>
    <w:rsid w:val="18CC42D4"/>
    <w:rsid w:val="1A0D15F9"/>
    <w:rsid w:val="1C465DE8"/>
    <w:rsid w:val="1D027501"/>
    <w:rsid w:val="1E9E659E"/>
    <w:rsid w:val="1F724165"/>
    <w:rsid w:val="1F78594A"/>
    <w:rsid w:val="1F7F520E"/>
    <w:rsid w:val="1FBF70C7"/>
    <w:rsid w:val="21335FB4"/>
    <w:rsid w:val="21F91073"/>
    <w:rsid w:val="23346FF2"/>
    <w:rsid w:val="241F17A1"/>
    <w:rsid w:val="24B50918"/>
    <w:rsid w:val="252E3957"/>
    <w:rsid w:val="261B67B0"/>
    <w:rsid w:val="283F3ACF"/>
    <w:rsid w:val="2A322994"/>
    <w:rsid w:val="2BCA47D3"/>
    <w:rsid w:val="2C4A387B"/>
    <w:rsid w:val="2EBF26C5"/>
    <w:rsid w:val="2FA148D0"/>
    <w:rsid w:val="2FAE42EC"/>
    <w:rsid w:val="2FE633C9"/>
    <w:rsid w:val="318E4598"/>
    <w:rsid w:val="32E04883"/>
    <w:rsid w:val="33556897"/>
    <w:rsid w:val="35030186"/>
    <w:rsid w:val="35066F5C"/>
    <w:rsid w:val="353313D3"/>
    <w:rsid w:val="35547BC9"/>
    <w:rsid w:val="36621888"/>
    <w:rsid w:val="36987F24"/>
    <w:rsid w:val="3838496B"/>
    <w:rsid w:val="3B4E39CE"/>
    <w:rsid w:val="3BE00A3D"/>
    <w:rsid w:val="3C8F33DE"/>
    <w:rsid w:val="3E6C62FD"/>
    <w:rsid w:val="42974454"/>
    <w:rsid w:val="430652B5"/>
    <w:rsid w:val="431920FC"/>
    <w:rsid w:val="43461B8D"/>
    <w:rsid w:val="43C63DC9"/>
    <w:rsid w:val="43D76D04"/>
    <w:rsid w:val="44D43F2C"/>
    <w:rsid w:val="4593362A"/>
    <w:rsid w:val="46572EF7"/>
    <w:rsid w:val="46E73F0A"/>
    <w:rsid w:val="49BA5A16"/>
    <w:rsid w:val="4ADF48C3"/>
    <w:rsid w:val="4BBE0197"/>
    <w:rsid w:val="4D9371B5"/>
    <w:rsid w:val="4E9F52C1"/>
    <w:rsid w:val="4EC45EAA"/>
    <w:rsid w:val="50A72F60"/>
    <w:rsid w:val="51311CB7"/>
    <w:rsid w:val="515F1821"/>
    <w:rsid w:val="54111890"/>
    <w:rsid w:val="54E5733C"/>
    <w:rsid w:val="561F7C23"/>
    <w:rsid w:val="580474C9"/>
    <w:rsid w:val="58934E8D"/>
    <w:rsid w:val="5A3A1A0C"/>
    <w:rsid w:val="5A76108A"/>
    <w:rsid w:val="5ACC45A6"/>
    <w:rsid w:val="5AEF13FC"/>
    <w:rsid w:val="5B437C53"/>
    <w:rsid w:val="5C0F272A"/>
    <w:rsid w:val="5DB54DEE"/>
    <w:rsid w:val="5F8D2625"/>
    <w:rsid w:val="60114ED8"/>
    <w:rsid w:val="61075737"/>
    <w:rsid w:val="6150201F"/>
    <w:rsid w:val="61785D1B"/>
    <w:rsid w:val="61927DA4"/>
    <w:rsid w:val="61A6570B"/>
    <w:rsid w:val="643D0AAE"/>
    <w:rsid w:val="644F57F8"/>
    <w:rsid w:val="65EE3C0B"/>
    <w:rsid w:val="66930C34"/>
    <w:rsid w:val="673264C6"/>
    <w:rsid w:val="67A209D9"/>
    <w:rsid w:val="68520F55"/>
    <w:rsid w:val="6A7A649C"/>
    <w:rsid w:val="6CCF1CD6"/>
    <w:rsid w:val="6D5A17A7"/>
    <w:rsid w:val="6F0D04DF"/>
    <w:rsid w:val="6F1648E5"/>
    <w:rsid w:val="701132A0"/>
    <w:rsid w:val="703A099C"/>
    <w:rsid w:val="70645CFA"/>
    <w:rsid w:val="70713CA5"/>
    <w:rsid w:val="71A772C9"/>
    <w:rsid w:val="71B53B61"/>
    <w:rsid w:val="72102608"/>
    <w:rsid w:val="73D57011"/>
    <w:rsid w:val="74177AD6"/>
    <w:rsid w:val="74C02003"/>
    <w:rsid w:val="75DB55BD"/>
    <w:rsid w:val="79745F39"/>
    <w:rsid w:val="7B9A214D"/>
    <w:rsid w:val="7BFB5DFA"/>
    <w:rsid w:val="7C8A0C31"/>
    <w:rsid w:val="7D7C6119"/>
    <w:rsid w:val="7E3919B2"/>
    <w:rsid w:val="7E50225F"/>
    <w:rsid w:val="7E7067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99"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53"/>
    <w:qFormat/>
    <w:uiPriority w:val="99"/>
    <w:pPr>
      <w:ind w:left="126"/>
      <w:jc w:val="center"/>
      <w:outlineLvl w:val="0"/>
    </w:pPr>
    <w:rPr>
      <w:rFonts w:ascii="华文中宋" w:hAnsi="华文中宋" w:eastAsia="宋体"/>
      <w:b/>
      <w:kern w:val="0"/>
      <w:sz w:val="28"/>
      <w:szCs w:val="26"/>
      <w:lang w:eastAsia="en-US"/>
    </w:rPr>
  </w:style>
  <w:style w:type="paragraph" w:styleId="3">
    <w:name w:val="heading 2"/>
    <w:basedOn w:val="1"/>
    <w:next w:val="1"/>
    <w:link w:val="59"/>
    <w:qFormat/>
    <w:uiPriority w:val="9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58"/>
    <w:qFormat/>
    <w:uiPriority w:val="99"/>
    <w:pPr>
      <w:keepNext/>
      <w:keepLines/>
      <w:spacing w:beforeLines="50" w:afterLines="50" w:line="360" w:lineRule="auto"/>
      <w:jc w:val="center"/>
      <w:outlineLvl w:val="2"/>
    </w:pPr>
    <w:rPr>
      <w:b/>
      <w:bCs/>
      <w:sz w:val="24"/>
      <w:szCs w:val="32"/>
    </w:rPr>
  </w:style>
  <w:style w:type="paragraph" w:styleId="5">
    <w:name w:val="heading 4"/>
    <w:basedOn w:val="1"/>
    <w:next w:val="1"/>
    <w:link w:val="46"/>
    <w:qFormat/>
    <w:uiPriority w:val="99"/>
    <w:pPr>
      <w:keepNext/>
      <w:keepLines/>
      <w:spacing w:before="280" w:after="290" w:line="376" w:lineRule="auto"/>
      <w:outlineLvl w:val="3"/>
    </w:pPr>
    <w:rPr>
      <w:rFonts w:ascii="Calibri Light" w:hAnsi="Calibri Light" w:eastAsia="宋体" w:cs="Times New Roman"/>
      <w:b/>
      <w:bCs/>
      <w:sz w:val="28"/>
      <w:szCs w:val="28"/>
    </w:rPr>
  </w:style>
  <w:style w:type="character" w:default="1" w:styleId="30">
    <w:name w:val="Default Paragraph Font"/>
    <w:unhideWhenUsed/>
    <w:uiPriority w:val="1"/>
  </w:style>
  <w:style w:type="table" w:default="1" w:styleId="28">
    <w:name w:val="Normal Table"/>
    <w:unhideWhenUsed/>
    <w:qFormat/>
    <w:uiPriority w:val="99"/>
    <w:tblPr>
      <w:tblStyle w:val="28"/>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Document Map"/>
    <w:basedOn w:val="1"/>
    <w:link w:val="49"/>
    <w:unhideWhenUsed/>
    <w:qFormat/>
    <w:uiPriority w:val="99"/>
    <w:rPr>
      <w:rFonts w:ascii="宋体" w:eastAsia="宋体"/>
      <w:sz w:val="18"/>
      <w:szCs w:val="18"/>
    </w:rPr>
  </w:style>
  <w:style w:type="paragraph" w:styleId="8">
    <w:name w:val="annotation text"/>
    <w:basedOn w:val="1"/>
    <w:link w:val="52"/>
    <w:unhideWhenUsed/>
    <w:qFormat/>
    <w:uiPriority w:val="99"/>
    <w:pPr>
      <w:jc w:val="left"/>
    </w:pPr>
    <w:rPr>
      <w:rFonts w:ascii="Calibri" w:hAnsi="Calibri" w:eastAsia="宋体" w:cs="Times New Roman"/>
    </w:rPr>
  </w:style>
  <w:style w:type="paragraph" w:styleId="9">
    <w:name w:val="Body Text"/>
    <w:basedOn w:val="1"/>
    <w:link w:val="55"/>
    <w:qFormat/>
    <w:uiPriority w:val="99"/>
    <w:pPr>
      <w:spacing w:before="8"/>
      <w:ind w:left="110"/>
      <w:jc w:val="left"/>
    </w:pPr>
    <w:rPr>
      <w:rFonts w:ascii="方正书宋简体" w:hAnsi="方正书宋简体" w:eastAsia="方正书宋简体"/>
      <w:kern w:val="0"/>
      <w:sz w:val="19"/>
      <w:szCs w:val="19"/>
      <w:lang w:eastAsia="en-US"/>
    </w:rPr>
  </w:style>
  <w:style w:type="paragraph" w:styleId="10">
    <w:name w:val="Body Text Indent"/>
    <w:basedOn w:val="1"/>
    <w:link w:val="54"/>
    <w:unhideWhenUsed/>
    <w:qFormat/>
    <w:uiPriority w:val="99"/>
    <w:pPr>
      <w:ind w:firstLine="480" w:firstLineChars="200"/>
    </w:pPr>
    <w:rPr>
      <w:sz w:val="24"/>
      <w:szCs w:val="21"/>
    </w:r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ind w:left="420"/>
      <w:jc w:val="left"/>
    </w:pPr>
    <w:rPr>
      <w:i/>
      <w:iCs/>
      <w:sz w:val="20"/>
      <w:szCs w:val="20"/>
    </w:rPr>
  </w:style>
  <w:style w:type="paragraph" w:styleId="13">
    <w:name w:val="Plain Text"/>
    <w:basedOn w:val="1"/>
    <w:link w:val="60"/>
    <w:qFormat/>
    <w:uiPriority w:val="99"/>
    <w:rPr>
      <w:rFonts w:ascii="宋体" w:hAnsi="Courier New" w:eastAsia="宋体" w:cs="Courier New"/>
      <w:szCs w:val="21"/>
    </w:rPr>
  </w:style>
  <w:style w:type="paragraph" w:styleId="14">
    <w:name w:val="toc 8"/>
    <w:basedOn w:val="1"/>
    <w:next w:val="1"/>
    <w:unhideWhenUsed/>
    <w:qFormat/>
    <w:uiPriority w:val="39"/>
    <w:pPr>
      <w:ind w:left="1470"/>
      <w:jc w:val="left"/>
    </w:pPr>
    <w:rPr>
      <w:sz w:val="18"/>
      <w:szCs w:val="18"/>
    </w:rPr>
  </w:style>
  <w:style w:type="paragraph" w:styleId="15">
    <w:name w:val="Date"/>
    <w:basedOn w:val="1"/>
    <w:next w:val="1"/>
    <w:link w:val="61"/>
    <w:unhideWhenUsed/>
    <w:qFormat/>
    <w:uiPriority w:val="99"/>
    <w:pPr>
      <w:ind w:left="100" w:leftChars="2500"/>
    </w:pPr>
  </w:style>
  <w:style w:type="paragraph" w:styleId="16">
    <w:name w:val="Balloon Text"/>
    <w:basedOn w:val="1"/>
    <w:link w:val="48"/>
    <w:unhideWhenUsed/>
    <w:qFormat/>
    <w:uiPriority w:val="99"/>
    <w:rPr>
      <w:sz w:val="18"/>
      <w:szCs w:val="18"/>
    </w:rPr>
  </w:style>
  <w:style w:type="paragraph" w:styleId="17">
    <w:name w:val="footer"/>
    <w:basedOn w:val="1"/>
    <w:link w:val="57"/>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toc 6"/>
    <w:basedOn w:val="1"/>
    <w:next w:val="1"/>
    <w:unhideWhenUsed/>
    <w:qFormat/>
    <w:uiPriority w:val="39"/>
    <w:pPr>
      <w:ind w:left="1050"/>
      <w:jc w:val="left"/>
    </w:pPr>
    <w:rPr>
      <w:sz w:val="18"/>
      <w:szCs w:val="18"/>
    </w:rPr>
  </w:style>
  <w:style w:type="paragraph" w:styleId="22">
    <w:name w:val="toc 2"/>
    <w:basedOn w:val="1"/>
    <w:next w:val="1"/>
    <w:unhideWhenUsed/>
    <w:qFormat/>
    <w:uiPriority w:val="39"/>
    <w:pPr>
      <w:ind w:left="210"/>
      <w:jc w:val="left"/>
    </w:pPr>
    <w:rPr>
      <w:smallCaps/>
      <w:sz w:val="20"/>
      <w:szCs w:val="20"/>
    </w:rPr>
  </w:style>
  <w:style w:type="paragraph" w:styleId="23">
    <w:name w:val="toc 9"/>
    <w:basedOn w:val="1"/>
    <w:next w:val="1"/>
    <w:unhideWhenUsed/>
    <w:qFormat/>
    <w:uiPriority w:val="39"/>
    <w:pPr>
      <w:ind w:left="1680"/>
      <w:jc w:val="left"/>
    </w:pPr>
    <w:rPr>
      <w:sz w:val="18"/>
      <w:szCs w:val="18"/>
    </w:rPr>
  </w:style>
  <w:style w:type="paragraph" w:styleId="24">
    <w:name w:val="Body Text 2"/>
    <w:basedOn w:val="1"/>
    <w:link w:val="47"/>
    <w:unhideWhenUsed/>
    <w:uiPriority w:val="99"/>
    <w:pPr>
      <w:spacing w:after="120" w:line="480" w:lineRule="auto"/>
    </w:pPr>
  </w:style>
  <w:style w:type="paragraph" w:styleId="25">
    <w:name w:val="Normal (Web)"/>
    <w:basedOn w:val="1"/>
    <w:qFormat/>
    <w:uiPriority w:val="0"/>
    <w:pPr>
      <w:widowControl/>
      <w:spacing w:before="100" w:after="100" w:line="280" w:lineRule="atLeast"/>
      <w:ind w:firstLine="400"/>
      <w:jc w:val="left"/>
    </w:pPr>
    <w:rPr>
      <w:rFonts w:ascii="??" w:hAnsi="??" w:eastAsia="宋体" w:cs="??"/>
      <w:color w:val="003399"/>
      <w:kern w:val="0"/>
      <w:sz w:val="24"/>
      <w:szCs w:val="24"/>
    </w:rPr>
  </w:style>
  <w:style w:type="paragraph" w:styleId="26">
    <w:name w:val="Title"/>
    <w:basedOn w:val="1"/>
    <w:next w:val="1"/>
    <w:link w:val="50"/>
    <w:qFormat/>
    <w:uiPriority w:val="99"/>
    <w:pPr>
      <w:spacing w:before="240" w:after="60"/>
      <w:jc w:val="left"/>
      <w:outlineLvl w:val="0"/>
    </w:pPr>
    <w:rPr>
      <w:rFonts w:ascii="Calibri Light" w:hAnsi="Calibri Light" w:eastAsia="宋体" w:cs="Times New Roman"/>
      <w:b/>
      <w:bCs/>
      <w:sz w:val="32"/>
      <w:szCs w:val="32"/>
    </w:rPr>
  </w:style>
  <w:style w:type="paragraph" w:styleId="27">
    <w:name w:val="annotation subject"/>
    <w:basedOn w:val="8"/>
    <w:next w:val="8"/>
    <w:link w:val="56"/>
    <w:unhideWhenUsed/>
    <w:qFormat/>
    <w:uiPriority w:val="99"/>
    <w:rPr>
      <w:rFonts w:ascii="Calibri" w:hAnsi="Calibri" w:eastAsia="宋体" w:cs="Times New Roman"/>
      <w:b/>
      <w:bCs/>
    </w:rPr>
  </w:style>
  <w:style w:type="table" w:styleId="29">
    <w:name w:val="Table Grid"/>
    <w:basedOn w:val="28"/>
    <w:qFormat/>
    <w:uiPriority w:val="39"/>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unhideWhenUsed/>
    <w:qFormat/>
    <w:uiPriority w:val="0"/>
  </w:style>
  <w:style w:type="character" w:styleId="33">
    <w:name w:val="FollowedHyperlink"/>
    <w:unhideWhenUsed/>
    <w:qFormat/>
    <w:uiPriority w:val="99"/>
    <w:rPr>
      <w:color w:val="954F72"/>
      <w:u w:val="single"/>
    </w:rPr>
  </w:style>
  <w:style w:type="character" w:styleId="34">
    <w:name w:val="Emphasis"/>
    <w:qFormat/>
    <w:uiPriority w:val="99"/>
    <w:rPr>
      <w:rFonts w:cs="Times New Roman"/>
      <w:i/>
      <w:iCs/>
    </w:rPr>
  </w:style>
  <w:style w:type="character" w:styleId="35">
    <w:name w:val="Hyperlink"/>
    <w:unhideWhenUsed/>
    <w:qFormat/>
    <w:uiPriority w:val="99"/>
    <w:rPr>
      <w:color w:val="0563C1"/>
      <w:u w:val="single"/>
    </w:rPr>
  </w:style>
  <w:style w:type="character" w:styleId="36">
    <w:name w:val="annotation reference"/>
    <w:qFormat/>
    <w:uiPriority w:val="0"/>
    <w:rPr>
      <w:sz w:val="21"/>
      <w:szCs w:val="21"/>
    </w:rPr>
  </w:style>
  <w:style w:type="paragraph" w:customStyle="1" w:styleId="37">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38">
    <w:name w:val="TOC 标题1"/>
    <w:basedOn w:val="2"/>
    <w:next w:val="1"/>
    <w:unhideWhenUsed/>
    <w:qFormat/>
    <w:uiPriority w:val="99"/>
    <w:pPr>
      <w:keepNext/>
      <w:keepLines/>
      <w:widowControl/>
      <w:spacing w:before="480" w:line="276" w:lineRule="auto"/>
      <w:ind w:left="0"/>
      <w:outlineLvl w:val="9"/>
    </w:pPr>
    <w:rPr>
      <w:rFonts w:ascii="Calibri Light" w:hAnsi="Calibri Light" w:cs="Times New Roman"/>
      <w:b w:val="0"/>
      <w:bCs/>
      <w:color w:val="2E75B5"/>
      <w:szCs w:val="28"/>
      <w:lang w:eastAsia="zh-CN"/>
    </w:rPr>
  </w:style>
  <w:style w:type="paragraph" w:customStyle="1" w:styleId="39">
    <w:name w:val="列出段落2"/>
    <w:basedOn w:val="1"/>
    <w:qFormat/>
    <w:uiPriority w:val="99"/>
    <w:pPr>
      <w:ind w:firstLine="420" w:firstLineChars="200"/>
    </w:pPr>
  </w:style>
  <w:style w:type="paragraph" w:customStyle="1" w:styleId="40">
    <w:name w:val="TOC 标题2"/>
    <w:basedOn w:val="2"/>
    <w:next w:val="1"/>
    <w:unhideWhenUsed/>
    <w:qFormat/>
    <w:uiPriority w:val="99"/>
    <w:pPr>
      <w:keepNext/>
      <w:keepLines/>
      <w:widowControl/>
      <w:spacing w:before="480" w:line="276" w:lineRule="auto"/>
      <w:ind w:left="0"/>
      <w:jc w:val="left"/>
      <w:outlineLvl w:val="9"/>
    </w:pPr>
    <w:rPr>
      <w:rFonts w:ascii="Calibri Light" w:hAnsi="Calibri Light" w:cs="Times New Roman"/>
      <w:bCs/>
      <w:color w:val="2E75B5"/>
      <w:szCs w:val="28"/>
      <w:lang w:eastAsia="zh-CN"/>
    </w:rPr>
  </w:style>
  <w:style w:type="paragraph" w:customStyle="1" w:styleId="41">
    <w:name w:val="p0"/>
    <w:basedOn w:val="1"/>
    <w:qFormat/>
    <w:uiPriority w:val="99"/>
    <w:pPr>
      <w:widowControl/>
    </w:pPr>
    <w:rPr>
      <w:rFonts w:ascii="Calibri" w:hAnsi="Calibri" w:eastAsia="宋体" w:cs="宋体"/>
      <w:kern w:val="0"/>
      <w:szCs w:val="21"/>
    </w:rPr>
  </w:style>
  <w:style w:type="paragraph" w:styleId="42">
    <w:name w:val="List Paragraph"/>
    <w:basedOn w:val="1"/>
    <w:qFormat/>
    <w:uiPriority w:val="99"/>
    <w:pPr>
      <w:ind w:firstLine="420" w:firstLineChars="200"/>
    </w:pPr>
  </w:style>
  <w:style w:type="paragraph" w:styleId="43">
    <w:name w:val=""/>
    <w:unhideWhenUsed/>
    <w:uiPriority w:val="99"/>
    <w:rPr>
      <w:kern w:val="2"/>
      <w:sz w:val="21"/>
      <w:szCs w:val="22"/>
      <w:lang w:val="en-US" w:eastAsia="zh-CN" w:bidi="ar-SA"/>
    </w:rPr>
  </w:style>
  <w:style w:type="paragraph" w:customStyle="1" w:styleId="44">
    <w:name w:val="列出段落1"/>
    <w:basedOn w:val="1"/>
    <w:qFormat/>
    <w:uiPriority w:val="99"/>
    <w:pPr>
      <w:ind w:firstLine="420" w:firstLineChars="200"/>
    </w:pPr>
  </w:style>
  <w:style w:type="paragraph" w:customStyle="1" w:styleId="45">
    <w:name w:val="Default"/>
    <w:qFormat/>
    <w:uiPriority w:val="0"/>
    <w:pPr>
      <w:widowControl w:val="0"/>
      <w:autoSpaceDE w:val="0"/>
      <w:autoSpaceDN w:val="0"/>
      <w:adjustRightInd w:val="0"/>
    </w:pPr>
    <w:rPr>
      <w:rFonts w:cs="Calibri"/>
      <w:color w:val="000000"/>
      <w:sz w:val="24"/>
      <w:szCs w:val="24"/>
      <w:lang w:val="en-US" w:eastAsia="zh-CN" w:bidi="ar-SA"/>
    </w:rPr>
  </w:style>
  <w:style w:type="character" w:customStyle="1" w:styleId="46">
    <w:name w:val="标题 4 Char"/>
    <w:link w:val="5"/>
    <w:qFormat/>
    <w:uiPriority w:val="99"/>
    <w:rPr>
      <w:rFonts w:ascii="Calibri Light" w:hAnsi="Calibri Light" w:eastAsia="宋体" w:cs="Times New Roman"/>
      <w:b/>
      <w:bCs/>
      <w:sz w:val="28"/>
      <w:szCs w:val="28"/>
    </w:rPr>
  </w:style>
  <w:style w:type="character" w:customStyle="1" w:styleId="47">
    <w:name w:val="正文文本 2 Char"/>
    <w:link w:val="24"/>
    <w:semiHidden/>
    <w:uiPriority w:val="99"/>
    <w:rPr>
      <w:rFonts w:ascii="Calibri" w:hAnsi="Calibri" w:eastAsia="宋体" w:cs="Times New Roman"/>
      <w:kern w:val="2"/>
      <w:sz w:val="21"/>
      <w:szCs w:val="22"/>
    </w:rPr>
  </w:style>
  <w:style w:type="character" w:customStyle="1" w:styleId="48">
    <w:name w:val="批注框文本 Char"/>
    <w:link w:val="16"/>
    <w:semiHidden/>
    <w:qFormat/>
    <w:uiPriority w:val="99"/>
    <w:rPr>
      <w:sz w:val="18"/>
      <w:szCs w:val="18"/>
    </w:rPr>
  </w:style>
  <w:style w:type="character" w:customStyle="1" w:styleId="49">
    <w:name w:val="文档结构图 Char"/>
    <w:link w:val="7"/>
    <w:semiHidden/>
    <w:qFormat/>
    <w:uiPriority w:val="99"/>
    <w:rPr>
      <w:rFonts w:ascii="宋体" w:eastAsia="宋体"/>
      <w:kern w:val="2"/>
      <w:sz w:val="18"/>
      <w:szCs w:val="18"/>
    </w:rPr>
  </w:style>
  <w:style w:type="character" w:customStyle="1" w:styleId="50">
    <w:name w:val="标题 Char"/>
    <w:link w:val="26"/>
    <w:qFormat/>
    <w:uiPriority w:val="99"/>
    <w:rPr>
      <w:rFonts w:ascii="Calibri Light" w:hAnsi="Calibri Light" w:eastAsia="宋体" w:cs="Times New Roman"/>
      <w:b/>
      <w:bCs/>
      <w:sz w:val="32"/>
      <w:szCs w:val="32"/>
    </w:rPr>
  </w:style>
  <w:style w:type="character" w:customStyle="1" w:styleId="51">
    <w:name w:val="页眉 Char"/>
    <w:link w:val="18"/>
    <w:qFormat/>
    <w:uiPriority w:val="99"/>
    <w:rPr>
      <w:sz w:val="18"/>
      <w:szCs w:val="18"/>
    </w:rPr>
  </w:style>
  <w:style w:type="character" w:customStyle="1" w:styleId="52">
    <w:name w:val="批注文字 Char"/>
    <w:link w:val="8"/>
    <w:qFormat/>
    <w:uiPriority w:val="99"/>
    <w:rPr>
      <w:rFonts w:ascii="Calibri" w:hAnsi="Calibri" w:eastAsia="宋体" w:cs="Times New Roman"/>
    </w:rPr>
  </w:style>
  <w:style w:type="character" w:customStyle="1" w:styleId="53">
    <w:name w:val="标题 1 Char"/>
    <w:link w:val="2"/>
    <w:qFormat/>
    <w:uiPriority w:val="99"/>
    <w:rPr>
      <w:rFonts w:ascii="华文中宋" w:hAnsi="华文中宋" w:eastAsia="宋体"/>
      <w:b/>
      <w:kern w:val="0"/>
      <w:sz w:val="28"/>
      <w:szCs w:val="26"/>
      <w:lang w:eastAsia="en-US"/>
    </w:rPr>
  </w:style>
  <w:style w:type="character" w:customStyle="1" w:styleId="54">
    <w:name w:val="正文文本缩进 Char"/>
    <w:link w:val="10"/>
    <w:qFormat/>
    <w:locked/>
    <w:uiPriority w:val="99"/>
    <w:rPr>
      <w:kern w:val="2"/>
      <w:sz w:val="24"/>
      <w:szCs w:val="21"/>
    </w:rPr>
  </w:style>
  <w:style w:type="character" w:customStyle="1" w:styleId="55">
    <w:name w:val="正文文本 Char"/>
    <w:link w:val="9"/>
    <w:qFormat/>
    <w:uiPriority w:val="99"/>
    <w:rPr>
      <w:rFonts w:ascii="方正书宋简体" w:hAnsi="方正书宋简体" w:eastAsia="方正书宋简体"/>
      <w:kern w:val="0"/>
      <w:sz w:val="19"/>
      <w:szCs w:val="19"/>
      <w:lang w:eastAsia="en-US"/>
    </w:rPr>
  </w:style>
  <w:style w:type="character" w:customStyle="1" w:styleId="56">
    <w:name w:val="批注主题 Char"/>
    <w:link w:val="27"/>
    <w:semiHidden/>
    <w:qFormat/>
    <w:uiPriority w:val="99"/>
    <w:rPr>
      <w:rFonts w:ascii="Calibri" w:hAnsi="Calibri" w:eastAsia="宋体" w:cs="Times New Roman"/>
      <w:b/>
      <w:bCs/>
    </w:rPr>
  </w:style>
  <w:style w:type="character" w:customStyle="1" w:styleId="57">
    <w:name w:val="页脚 Char"/>
    <w:link w:val="17"/>
    <w:qFormat/>
    <w:uiPriority w:val="99"/>
    <w:rPr>
      <w:sz w:val="18"/>
      <w:szCs w:val="18"/>
    </w:rPr>
  </w:style>
  <w:style w:type="character" w:customStyle="1" w:styleId="58">
    <w:name w:val="标题 3 Char"/>
    <w:link w:val="4"/>
    <w:qFormat/>
    <w:uiPriority w:val="99"/>
    <w:rPr>
      <w:b/>
      <w:bCs/>
      <w:kern w:val="2"/>
      <w:sz w:val="24"/>
      <w:szCs w:val="32"/>
    </w:rPr>
  </w:style>
  <w:style w:type="character" w:customStyle="1" w:styleId="59">
    <w:name w:val="标题 2 Char"/>
    <w:link w:val="3"/>
    <w:qFormat/>
    <w:uiPriority w:val="99"/>
    <w:rPr>
      <w:rFonts w:ascii="Calibri Light" w:hAnsi="Calibri Light" w:eastAsia="宋体" w:cs="Times New Roman"/>
      <w:b/>
      <w:bCs/>
      <w:sz w:val="32"/>
      <w:szCs w:val="32"/>
    </w:rPr>
  </w:style>
  <w:style w:type="character" w:customStyle="1" w:styleId="60">
    <w:name w:val="纯文本 Char"/>
    <w:link w:val="13"/>
    <w:qFormat/>
    <w:uiPriority w:val="99"/>
    <w:rPr>
      <w:rFonts w:ascii="宋体" w:hAnsi="Courier New" w:eastAsia="宋体" w:cs="Courier New"/>
      <w:szCs w:val="21"/>
    </w:rPr>
  </w:style>
  <w:style w:type="character" w:customStyle="1" w:styleId="61">
    <w:name w:val="日期 Char"/>
    <w:basedOn w:val="30"/>
    <w:link w:val="15"/>
    <w:semiHidden/>
    <w:qFormat/>
    <w:uiPriority w:val="99"/>
  </w:style>
  <w:style w:type="character" w:customStyle="1" w:styleId="62">
    <w:name w:val="unnamed21"/>
    <w:basedOn w:val="30"/>
    <w:qFormat/>
    <w:uiPriority w:val="99"/>
  </w:style>
  <w:style w:type="table" w:customStyle="1" w:styleId="63">
    <w:name w:val="Table Normal"/>
    <w:unhideWhenUsed/>
    <w:qFormat/>
    <w:uiPriority w:val="2"/>
    <w:pPr>
      <w:widowControl w:val="0"/>
      <w:autoSpaceDE w:val="0"/>
      <w:autoSpaceDN w:val="0"/>
    </w:pPr>
    <w:rPr>
      <w:sz w:val="22"/>
      <w:szCs w:val="22"/>
      <w:lang w:val="en-US" w:eastAsia="en-US" w:bidi="ar-SA"/>
    </w:rPr>
    <w:tblPr>
      <w:tblStyle w:val="2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Invensys Systems</Company>
  <Pages>195</Pages>
  <Words>19192</Words>
  <Characters>109401</Characters>
  <Lines>911</Lines>
  <Paragraphs>256</Paragraphs>
  <TotalTime>15</TotalTime>
  <ScaleCrop>false</ScaleCrop>
  <LinksUpToDate>false</LinksUpToDate>
  <CharactersWithSpaces>128337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2020-09-11T02:29:00Z</dcterms:created>
  <dc:creator>刘志强</dc:creator>
  <cp:lastModifiedBy>杨潇</cp:lastModifiedBy>
  <cp:lastPrinted>2018-11-21T03:11:00Z</cp:lastPrinted>
  <dcterms:modified xsi:type="dcterms:W3CDTF">2020-10-10T02:17:14Z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