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黑体" w:eastAsia="黑体"/>
          <w:b/>
          <w:sz w:val="32"/>
          <w:szCs w:val="32"/>
        </w:rPr>
      </w:pPr>
      <w:r>
        <w:rPr>
          <w:rFonts w:hint="eastAsia" w:ascii="黑体" w:hAnsi="黑体" w:eastAsia="黑体"/>
          <w:b/>
          <w:bCs/>
          <w:sz w:val="32"/>
          <w:szCs w:val="32"/>
        </w:rPr>
        <w:t>工程管理</w:t>
      </w:r>
      <w:r>
        <w:rPr>
          <w:rFonts w:hint="eastAsia" w:ascii="黑体" w:hAnsi="黑体" w:eastAsia="黑体"/>
          <w:b/>
          <w:sz w:val="32"/>
          <w:szCs w:val="32"/>
        </w:rPr>
        <w:t>专业</w:t>
      </w:r>
      <w:r>
        <w:rPr>
          <w:rFonts w:hint="eastAsia" w:ascii="黑体" w:hAnsi="黑体" w:eastAsia="黑体" w:cs="华文新魏"/>
          <w:b/>
          <w:sz w:val="32"/>
          <w:szCs w:val="32"/>
        </w:rPr>
        <w:t>（</w:t>
      </w:r>
      <w:r>
        <w:rPr>
          <w:rFonts w:hint="eastAsia" w:ascii="黑体" w:hAnsi="黑体" w:eastAsia="黑体"/>
          <w:b/>
          <w:sz w:val="32"/>
          <w:szCs w:val="32"/>
        </w:rPr>
        <w:t>本科</w:t>
      </w:r>
      <w:r>
        <w:rPr>
          <w:rFonts w:hint="eastAsia" w:ascii="黑体" w:hAnsi="黑体" w:eastAsia="黑体" w:cs="华文新魏"/>
          <w:b/>
          <w:sz w:val="32"/>
          <w:szCs w:val="32"/>
        </w:rPr>
        <w:t>）</w:t>
      </w:r>
      <w:r>
        <w:rPr>
          <w:rFonts w:hint="eastAsia" w:ascii="黑体" w:hAnsi="黑体" w:eastAsia="黑体"/>
          <w:b/>
          <w:sz w:val="32"/>
          <w:szCs w:val="32"/>
        </w:rPr>
        <w:t>培养方案</w:t>
      </w:r>
    </w:p>
    <w:p>
      <w:pPr>
        <w:spacing w:beforeLines="50" w:line="400" w:lineRule="exact"/>
        <w:jc w:val="center"/>
      </w:pPr>
      <w:r>
        <w:rPr>
          <w:rFonts w:hint="eastAsia"/>
        </w:rPr>
        <w:t>制定日期：2022年6月</w:t>
      </w:r>
      <w:r>
        <w:rPr>
          <w:rFonts w:hint="eastAsia"/>
          <w:color w:val="FF0000"/>
        </w:rPr>
        <w:t xml:space="preserve"> </w:t>
      </w:r>
      <w:r>
        <w:rPr>
          <w:rFonts w:hint="eastAsia"/>
        </w:rPr>
        <w:t xml:space="preserve">   制定：汪洋    审核：胡伟    批准：黄冬梅</w:t>
      </w:r>
    </w:p>
    <w:p>
      <w:pPr>
        <w:spacing w:line="400" w:lineRule="exact"/>
        <w:rPr>
          <w:rFonts w:ascii="黑体" w:eastAsia="黑体"/>
        </w:rPr>
      </w:pPr>
    </w:p>
    <w:p>
      <w:pPr>
        <w:pStyle w:val="15"/>
        <w:numPr>
          <w:ilvl w:val="0"/>
          <w:numId w:val="1"/>
        </w:numPr>
        <w:tabs>
          <w:tab w:val="left" w:pos="420"/>
        </w:tabs>
        <w:spacing w:beforeLines="50"/>
        <w:ind w:firstLineChars="0"/>
        <w:rPr>
          <w:rFonts w:ascii="黑体" w:eastAsia="黑体"/>
          <w:b/>
          <w:bCs/>
        </w:rPr>
      </w:pPr>
      <w:r>
        <w:rPr>
          <w:rFonts w:hint="eastAsia" w:ascii="黑体" w:eastAsia="黑体"/>
          <w:b/>
          <w:bCs/>
        </w:rPr>
        <w:t>专业说明</w:t>
      </w:r>
    </w:p>
    <w:p>
      <w:pPr>
        <w:spacing w:afterLines="50"/>
        <w:ind w:firstLine="420" w:firstLineChars="200"/>
        <w:rPr>
          <w:rFonts w:hint="default" w:ascii="Times New Roman" w:hAnsi="Times New Roman" w:cs="Times New Roman"/>
          <w:b/>
          <w:bCs/>
        </w:rPr>
      </w:pPr>
      <w:r>
        <w:rPr>
          <w:rFonts w:hint="default" w:ascii="Times New Roman" w:hAnsi="Times New Roman" w:cs="Times New Roman"/>
        </w:rPr>
        <w:t>专业代码：120103</w:t>
      </w:r>
    </w:p>
    <w:p>
      <w:pPr>
        <w:rPr>
          <w:rFonts w:ascii="黑体" w:eastAsia="黑体"/>
        </w:rPr>
      </w:pPr>
      <w:r>
        <w:rPr>
          <w:rFonts w:ascii="黑体" w:eastAsia="黑体"/>
        </w:rPr>
        <w:pict>
          <v:shape id="_x0000_s1038" o:spid="_x0000_s1038" o:spt="202" type="#_x0000_t202" style="position:absolute;left:0pt;margin-left:286.5pt;margin-top:1.2pt;height:23.4pt;width:84.45pt;z-index:251661312;mso-width-relative:page;mso-height-relative:page;" coordsize="21600,21600">
            <v:path/>
            <v:fill focussize="0,0"/>
            <v:stroke joinstyle="miter"/>
            <v:imagedata o:title=""/>
            <o:lock v:ext="edit"/>
            <v:textbox>
              <w:txbxContent>
                <w:p>
                  <w:pPr>
                    <w:jc w:val="center"/>
                    <w:rPr>
                      <w:rFonts w:ascii="宋体" w:hAnsi="宋体"/>
                      <w:szCs w:val="21"/>
                    </w:rPr>
                  </w:pPr>
                  <w:r>
                    <w:rPr>
                      <w:rFonts w:hint="eastAsia" w:ascii="宋体" w:hAnsi="宋体"/>
                      <w:szCs w:val="21"/>
                    </w:rPr>
                    <w:t>工程管理专业</w:t>
                  </w:r>
                </w:p>
              </w:txbxContent>
            </v:textbox>
          </v:shape>
        </w:pict>
      </w:r>
      <w:r>
        <w:rPr>
          <w:rFonts w:ascii="黑体" w:eastAsia="黑体"/>
        </w:rPr>
        <w:pict>
          <v:shape id="_x0000_s1037" o:spid="_x0000_s1037" o:spt="202" type="#_x0000_t202" style="position:absolute;left:0pt;margin-left:135pt;margin-top:1.2pt;height:23.4pt;width:124.5pt;z-index:251660288;mso-width-relative:page;mso-height-relative:page;" coordsize="21600,21600">
            <v:path/>
            <v:fill focussize="0,0"/>
            <v:stroke joinstyle="miter"/>
            <v:imagedata o:title=""/>
            <o:lock v:ext="edit"/>
            <v:textbox>
              <w:txbxContent>
                <w:p>
                  <w:pPr>
                    <w:jc w:val="center"/>
                    <w:rPr>
                      <w:rFonts w:ascii="宋体" w:hAnsi="宋体"/>
                      <w:szCs w:val="21"/>
                    </w:rPr>
                  </w:pPr>
                  <w:r>
                    <w:rPr>
                      <w:rFonts w:hint="eastAsia" w:ascii="宋体" w:hAnsi="宋体"/>
                      <w:szCs w:val="21"/>
                    </w:rPr>
                    <w:t>管理科学与工程类</w:t>
                  </w:r>
                </w:p>
              </w:txbxContent>
            </v:textbox>
          </v:shape>
        </w:pict>
      </w:r>
      <w:r>
        <w:pict>
          <v:line id="_x0000_s1040" o:spid="_x0000_s1040" o:spt="20" style="position:absolute;left:0pt;margin-left:259.5pt;margin-top:13.8pt;height:0pt;width:27pt;z-index:251663360;mso-width-relative:page;mso-height-relative:page;" coordsize="21600,21600">
            <v:path arrowok="t"/>
            <v:fill focussize="0,0"/>
            <v:stroke/>
            <v:imagedata o:title=""/>
            <o:lock v:ext="edit"/>
          </v:line>
        </w:pict>
      </w:r>
      <w:r>
        <w:pict>
          <v:line id="_x0000_s1039" o:spid="_x0000_s1039" o:spt="20" style="position:absolute;left:0pt;margin-left:108pt;margin-top:13.8pt;height:0pt;width:27pt;z-index:251662336;mso-width-relative:page;mso-height-relative:page;" coordsize="21600,21600">
            <v:path arrowok="t"/>
            <v:fill focussize="0,0"/>
            <v:stroke/>
            <v:imagedata o:title=""/>
            <o:lock v:ext="edit"/>
          </v:line>
        </w:pict>
      </w:r>
      <w:r>
        <w:rPr>
          <w:rFonts w:ascii="黑体" w:eastAsia="黑体"/>
        </w:rPr>
        <w:pict>
          <v:shape id="_x0000_s1036" o:spid="_x0000_s1036" o:spt="202" type="#_x0000_t202" style="position:absolute;left:0pt;margin-left:36pt;margin-top:1.2pt;height:23.4pt;width:72pt;z-index:251659264;mso-width-relative:page;mso-height-relative:page;" coordsize="21600,21600">
            <v:path/>
            <v:fill focussize="0,0"/>
            <v:stroke joinstyle="miter"/>
            <v:imagedata o:title=""/>
            <o:lock v:ext="edit"/>
            <v:textbox>
              <w:txbxContent>
                <w:p>
                  <w:pPr>
                    <w:jc w:val="center"/>
                    <w:rPr>
                      <w:rFonts w:ascii="宋体" w:hAnsi="宋体"/>
                      <w:szCs w:val="21"/>
                    </w:rPr>
                  </w:pPr>
                  <w:r>
                    <w:rPr>
                      <w:rFonts w:hint="eastAsia" w:ascii="宋体" w:hAnsi="宋体"/>
                      <w:szCs w:val="21"/>
                    </w:rPr>
                    <w:t>管理学</w:t>
                  </w:r>
                </w:p>
              </w:txbxContent>
            </v:textbox>
          </v:shape>
        </w:pict>
      </w:r>
      <w:r>
        <w:rPr>
          <w:rFonts w:hint="eastAsia" w:ascii="黑体" w:eastAsia="黑体"/>
        </w:rPr>
        <w:t xml:space="preserve">                                                               </w:t>
      </w:r>
    </w:p>
    <w:p>
      <w:pPr>
        <w:rPr>
          <w:rFonts w:ascii="黑体" w:eastAsia="黑体"/>
        </w:rPr>
      </w:pPr>
      <w:r>
        <w:rPr>
          <w:rFonts w:hint="eastAsia" w:ascii="黑体" w:eastAsia="黑体"/>
        </w:rPr>
        <w:t xml:space="preserve">    </w:t>
      </w:r>
    </w:p>
    <w:p>
      <w:pPr>
        <w:rPr>
          <w:rFonts w:ascii="黑体" w:eastAsia="黑体"/>
        </w:rPr>
      </w:pPr>
      <w:r>
        <w:rPr>
          <w:rFonts w:hint="eastAsia" w:ascii="黑体" w:eastAsia="黑体"/>
        </w:rPr>
        <w:t xml:space="preserve">                                           </w:t>
      </w:r>
    </w:p>
    <w:p>
      <w:pPr>
        <w:pStyle w:val="15"/>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beforeLines="50" w:line="240" w:lineRule="auto"/>
        <w:ind w:firstLineChars="0"/>
        <w:textAlignment w:val="auto"/>
        <w:rPr>
          <w:rFonts w:ascii="黑体" w:eastAsia="黑体"/>
        </w:rPr>
      </w:pPr>
      <w:r>
        <w:rPr>
          <w:rFonts w:hint="eastAsia" w:ascii="黑体" w:eastAsia="黑体"/>
          <w:b/>
          <w:bCs/>
        </w:rPr>
        <w:t>培养目标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本专业坚持学校“立足电力、立足应用、立足一线”的工程人才教育培养模式，以住建部工程管理专业认证评估要求为基础，培养具备基本的科学素养，系统地掌握土木工程技术、管理学、经济学和法律法规的相关理论、知识与相应方法，了解现代管理科学理论、方法和手段以及一般建设工程尤其是电力工程的特点及其重点问题和解决方案，具备国家注册建造师、造价师等执业资格必须的知识和素质，拥有较强的解决复杂实际工程问题的基本能力、较好的外语运用能力，具有良好的人际交往技能、团队协作和交流能力，适应社会经济发展需要，满足国家和各行业企业发展需求的专业人才。毕业后，可服务能源电力行业及地方经济和社会发展，能在建筑业、房地产业、能源电力建设行业或相关领域从事建设项目投资管理、工程项目管理、房地产投资和经营管理、工程造价、施工管理等工作，并具备在工作中继续学习、不断更新知识的能力。经过5年左右的实践锻炼，能够达到以下目标，成为工程建设管理及相关领域的高级应用型专业人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1.</w:t>
      </w:r>
      <w:r>
        <w:rPr>
          <w:rFonts w:hint="eastAsia"/>
          <w:szCs w:val="22"/>
          <w:lang w:val="en-US" w:eastAsia="zh-CN"/>
        </w:rPr>
        <w:t xml:space="preserve"> </w:t>
      </w:r>
      <w:r>
        <w:rPr>
          <w:rFonts w:hint="eastAsia"/>
          <w:szCs w:val="22"/>
        </w:rPr>
        <w:t>有良好的人文社会科学素养、工程职业道德与国际视野，在工作中具有社会责任感、安全、环保及可持续发展意识，积极服务国家与社会；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2.</w:t>
      </w:r>
      <w:r>
        <w:rPr>
          <w:rFonts w:hint="eastAsia"/>
          <w:szCs w:val="22"/>
          <w:lang w:val="en-US" w:eastAsia="zh-CN"/>
        </w:rPr>
        <w:t xml:space="preserve"> </w:t>
      </w:r>
      <w:r>
        <w:rPr>
          <w:rFonts w:hint="eastAsia"/>
          <w:szCs w:val="22"/>
        </w:rPr>
        <w:t>能够综合运用土木工程专业及部分能源电气专业相关技术知识，结合管理学、经济学的理论与方法，具备对不同类型的建设项目进行项目开发、施工组织、技术经济分析的能力，具备发现、研究、解决</w:t>
      </w:r>
      <w:r>
        <w:rPr>
          <w:szCs w:val="22"/>
        </w:rPr>
        <w:t>其</w:t>
      </w:r>
      <w:r>
        <w:rPr>
          <w:rFonts w:hint="eastAsia"/>
          <w:szCs w:val="22"/>
        </w:rPr>
        <w:t>中与工程项目建设管理相关的复杂工程问题的能力；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3.</w:t>
      </w:r>
      <w:r>
        <w:rPr>
          <w:rFonts w:hint="eastAsia"/>
          <w:szCs w:val="22"/>
          <w:lang w:val="en-US" w:eastAsia="zh-CN"/>
        </w:rPr>
        <w:t xml:space="preserve"> </w:t>
      </w:r>
      <w:r>
        <w:rPr>
          <w:rFonts w:hint="eastAsia"/>
          <w:szCs w:val="22"/>
        </w:rPr>
        <w:t>具备注册建造师（建筑、机电、市政）、注册造价师和注册监理工程师的执业能力和资格，能从事相关岗位的专业工作；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szCs w:val="22"/>
        </w:rPr>
      </w:pPr>
      <w:r>
        <w:rPr>
          <w:rFonts w:hint="eastAsia"/>
          <w:szCs w:val="22"/>
        </w:rPr>
        <w:t>4.</w:t>
      </w:r>
      <w:r>
        <w:rPr>
          <w:rFonts w:hint="eastAsia"/>
          <w:szCs w:val="22"/>
          <w:lang w:val="en-US" w:eastAsia="zh-CN"/>
        </w:rPr>
        <w:t xml:space="preserve"> </w:t>
      </w:r>
      <w:r>
        <w:rPr>
          <w:rFonts w:hint="eastAsia"/>
          <w:szCs w:val="22"/>
        </w:rPr>
        <w:t>具备良好的人文社会科学知识和以能</w:t>
      </w:r>
      <w:r>
        <w:rPr>
          <w:rFonts w:hint="eastAsia"/>
          <w:color w:val="auto"/>
          <w:szCs w:val="22"/>
        </w:rPr>
        <w:t>源电力</w:t>
      </w:r>
      <w:r>
        <w:rPr>
          <w:rFonts w:hint="eastAsia"/>
          <w:szCs w:val="22"/>
        </w:rPr>
        <w:t>领域为主的项目团队管理能力，在专业团队中担任骨干或负责人角色，具备较强的沟通和协调能力；</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eastAsia"/>
          <w:szCs w:val="22"/>
        </w:rPr>
      </w:pPr>
      <w:r>
        <w:rPr>
          <w:rFonts w:hint="eastAsia"/>
          <w:szCs w:val="22"/>
        </w:rPr>
        <w:t>5.</w:t>
      </w:r>
      <w:r>
        <w:rPr>
          <w:rFonts w:hint="eastAsia"/>
          <w:szCs w:val="22"/>
          <w:lang w:val="en-US" w:eastAsia="zh-CN"/>
        </w:rPr>
        <w:t xml:space="preserve"> </w:t>
      </w:r>
      <w:r>
        <w:rPr>
          <w:rFonts w:hint="eastAsia"/>
          <w:szCs w:val="22"/>
        </w:rPr>
        <w:t>能够与时俱进，并通过不断学习来拓展自己的知识和能力，实现自我提升，增强创新意识。</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eastAsia"/>
          <w:szCs w:val="22"/>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ascii="黑体" w:eastAsia="黑体"/>
          <w:b/>
          <w:bCs/>
        </w:rPr>
      </w:pPr>
      <w:r>
        <w:rPr>
          <w:rFonts w:hint="eastAsia" w:ascii="黑体" w:eastAsia="黑体"/>
          <w:b/>
          <w:bCs/>
        </w:rPr>
        <w:t>毕业要求</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default" w:ascii="Times New Roman" w:hAnsi="Times New Roman" w:cs="Times New Roman"/>
          <w:szCs w:val="22"/>
        </w:rPr>
      </w:pPr>
      <w:r>
        <w:rPr>
          <w:rFonts w:hint="eastAsia"/>
          <w:szCs w:val="22"/>
        </w:rPr>
        <w:t>本专业学生需要具备从事以能源电力为主的各类型工程建设项目管理的基本能力。其知识结构建立在工程技术、工程经济、工程管理、工程法律四大知识平台上，接受专业相关的基本技能训练。将具备综合运用所学知识分析和解决专业方面问题的基本能力，成为“基本</w:t>
      </w:r>
      <w:r>
        <w:rPr>
          <w:rFonts w:hint="default" w:ascii="Times New Roman" w:hAnsi="Times New Roman" w:cs="Times New Roman"/>
          <w:szCs w:val="22"/>
        </w:rPr>
        <w:t>理论+工程实践+能源电力特色+创新与运营能力”的复合型管理人才。</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default" w:ascii="Times New Roman" w:hAnsi="Times New Roman" w:cs="Times New Roman"/>
          <w:szCs w:val="22"/>
        </w:rPr>
      </w:pPr>
      <w:r>
        <w:rPr>
          <w:rFonts w:hint="default" w:ascii="Times New Roman" w:hAnsi="Times New Roman" w:cs="Times New Roman"/>
          <w:szCs w:val="22"/>
        </w:rPr>
        <w:t>本专业以高级应用型管理人员为培养目标的本科毕业生将具备如下知识、能力与素质：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思想品德：具有坚定正确的政治方向，热爱祖国，热爱人民，拥护中国共产党的领导；具有正确的世界观、人生观、价值观，具有良好的思想品德、健全的人格、健康的体魄，践行社会主义核心价值观。</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420" w:firstLineChars="200"/>
        <w:jc w:val="left"/>
        <w:textAlignment w:val="auto"/>
        <w:rPr>
          <w:rFonts w:hint="default" w:ascii="Times New Roman" w:hAnsi="Times New Roman" w:cs="Times New Roman"/>
          <w:szCs w:val="22"/>
        </w:rPr>
      </w:pPr>
      <w:r>
        <w:rPr>
          <w:rFonts w:hint="default" w:ascii="Times New Roman" w:hAnsi="Times New Roman" w:cs="Times New Roman"/>
          <w:szCs w:val="22"/>
        </w:rPr>
        <w:t>工程技术知识：掌握本专业较宽的技术基础知识理论知识，能够将数学、自然科学知识以及相关的工程基础理论和专业知识用于解决各类型工程项目建设及运维等相关领域中出现的复杂工程问题。</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420" w:firstLineChars="200"/>
        <w:jc w:val="left"/>
        <w:textAlignment w:val="auto"/>
        <w:rPr>
          <w:rFonts w:hint="default" w:ascii="Times New Roman" w:hAnsi="Times New Roman" w:cs="Times New Roman"/>
          <w:szCs w:val="22"/>
        </w:rPr>
      </w:pPr>
      <w:r>
        <w:rPr>
          <w:rFonts w:hint="default" w:ascii="Times New Roman" w:hAnsi="Times New Roman" w:cs="Times New Roman"/>
          <w:szCs w:val="22"/>
        </w:rPr>
        <w:t>问题分析：能够应用数学、自然科学和管理科学的基本原理，识别和表达并通过文献研究工程项目管理中出现的策划、组织、实施的技术、经济等应用问题，以获得有效结论。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项目解决方案：能够针对各类型工程项目尤其是与能源电力领域应用相关的特定需求，选择适用的工程设计和施工过程控制方法，并在设计、建造及运营的过程中考虑社会、健康、安全、法律、文化及环境因素，形成有针对性的项目解决方案。</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研究：了解本学科前沿和发展趋势，能够基于科学原理并采用科学方法对建设工程项目开发、施工和运维及其相关领域的复杂工程问题进行研究，并通过分析与解释数据及信息技术综合得到合理有效的结论。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使用现代工具：能够针对工程建设及运维等相关领域应用的特定需求，开发或选择适当的文献检索、资料查询方式和系统分析工具，使用有效的方法进行理论和模拟分析并能够理解其适用范围。</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工程与社会：了解与工程建设及其相关领域有关的社会、健康、安全、法律及文化方面知识，分析和评价专业工程实践和复杂工程问题解决方案对上述因素的影响，并理解应承担的责任。</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环境和可持续发展：能够理解和评价满足工程建设及运营领域应用特定需求，充分了解相关技术标准和措施对环境、社会可持续发展的影响。</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职业规范：爱国守法，具有人文社会科学素养和社会责任感，能够在工程建设尤其是能源电力工程项目建设及运营等工程实践中理解并遵守工程职业道德规范，履行相应的责任。</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个人和团队：能够在多学科背景下的团队中承担个体、团队成员以及负责人的角色。</w:t>
      </w:r>
    </w:p>
    <w:p>
      <w:pPr>
        <w:keepNext w:val="0"/>
        <w:keepLines w:val="0"/>
        <w:pageBreakBefore w:val="0"/>
        <w:widowControl w:val="0"/>
        <w:kinsoku/>
        <w:wordWrap/>
        <w:overflowPunct/>
        <w:topLinePunct w:val="0"/>
        <w:autoSpaceDE/>
        <w:autoSpaceDN/>
        <w:bidi w:val="0"/>
        <w:adjustRightInd/>
        <w:snapToGrid/>
        <w:spacing w:line="240" w:lineRule="auto"/>
        <w:ind w:right="210" w:rightChars="100"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11.沟通：能够就工程项目建设及运营等相关领域复杂工程问题与业界同行及社会公众进行书面和口头的沟通和交流。并具备一定的国际视野，能够在跨文化背景下进行沟通和交流。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12.</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项目管理：理解并掌握工程管理原理与经济决策方法，并能在多学科环境中应用。</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default" w:ascii="Times New Roman" w:hAnsi="Times New Roman" w:cs="Times New Roman"/>
          <w:bCs/>
          <w:szCs w:val="21"/>
        </w:rPr>
      </w:pPr>
      <w:r>
        <w:rPr>
          <w:rFonts w:hint="default" w:ascii="Times New Roman" w:hAnsi="Times New Roman" w:cs="Times New Roman"/>
          <w:bCs/>
          <w:szCs w:val="21"/>
        </w:rPr>
        <w:t>13.</w:t>
      </w:r>
      <w:r>
        <w:rPr>
          <w:rFonts w:hint="default" w:ascii="Times New Roman" w:hAnsi="Times New Roman" w:cs="Times New Roman"/>
          <w:bCs/>
          <w:szCs w:val="21"/>
          <w:lang w:val="en-US" w:eastAsia="zh-CN"/>
        </w:rPr>
        <w:t xml:space="preserve"> </w:t>
      </w:r>
      <w:r>
        <w:rPr>
          <w:rFonts w:hint="default" w:ascii="Times New Roman" w:hAnsi="Times New Roman" w:cs="Times New Roman"/>
          <w:bCs/>
          <w:szCs w:val="21"/>
        </w:rPr>
        <w:t>终身学习：具有自主学习和终身学习的意识，有不断学习和适应发展的能力。</w:t>
      </w:r>
    </w:p>
    <w:p>
      <w:pPr>
        <w:keepNext w:val="0"/>
        <w:keepLines w:val="0"/>
        <w:pageBreakBefore w:val="0"/>
        <w:widowControl w:val="0"/>
        <w:kinsoku/>
        <w:wordWrap/>
        <w:overflowPunct/>
        <w:topLinePunct w:val="0"/>
        <w:autoSpaceDE/>
        <w:autoSpaceDN/>
        <w:bidi w:val="0"/>
        <w:adjustRightInd/>
        <w:snapToGrid/>
        <w:spacing w:line="240" w:lineRule="auto"/>
        <w:ind w:firstLine="425"/>
        <w:textAlignment w:val="auto"/>
        <w:rPr>
          <w:rFonts w:hint="eastAsia" w:ascii="Times New Roman" w:hAnsi="Times New Roman" w:cs="Times New Roman"/>
          <w:bCs/>
          <w:szCs w:val="21"/>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ascii="黑体" w:eastAsia="黑体"/>
          <w:b/>
          <w:bCs/>
        </w:rPr>
      </w:pPr>
      <w:r>
        <w:rPr>
          <w:rFonts w:hint="eastAsia" w:ascii="黑体" w:eastAsia="黑体"/>
          <w:b/>
          <w:bCs/>
        </w:rPr>
        <w:t>主干学科</w:t>
      </w:r>
    </w:p>
    <w:p>
      <w:pPr>
        <w:keepNext w:val="0"/>
        <w:keepLines w:val="0"/>
        <w:pageBreakBefore w:val="0"/>
        <w:widowControl w:val="0"/>
        <w:kinsoku/>
        <w:wordWrap/>
        <w:overflowPunct/>
        <w:topLinePunct w:val="0"/>
        <w:autoSpaceDE/>
        <w:autoSpaceDN/>
        <w:bidi w:val="0"/>
        <w:adjustRightInd/>
        <w:snapToGrid/>
        <w:spacing w:line="240" w:lineRule="auto"/>
        <w:ind w:firstLine="434" w:firstLineChars="207"/>
        <w:textAlignment w:val="auto"/>
        <w:rPr>
          <w:rFonts w:hint="eastAsia"/>
        </w:rPr>
      </w:pPr>
      <w:r>
        <w:rPr>
          <w:rFonts w:hint="eastAsia"/>
        </w:rPr>
        <w:t>管理学、土木工程。</w:t>
      </w:r>
    </w:p>
    <w:p>
      <w:pPr>
        <w:keepNext w:val="0"/>
        <w:keepLines w:val="0"/>
        <w:pageBreakBefore w:val="0"/>
        <w:widowControl w:val="0"/>
        <w:kinsoku/>
        <w:wordWrap/>
        <w:overflowPunct/>
        <w:topLinePunct w:val="0"/>
        <w:autoSpaceDE/>
        <w:autoSpaceDN/>
        <w:bidi w:val="0"/>
        <w:adjustRightInd/>
        <w:snapToGrid/>
        <w:spacing w:line="240" w:lineRule="auto"/>
        <w:ind w:firstLine="434" w:firstLineChars="207"/>
        <w:textAlignment w:val="auto"/>
        <w:rPr>
          <w:rFonts w:hint="eastAsia"/>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b/>
        </w:rPr>
      </w:pPr>
      <w:r>
        <w:rPr>
          <w:rFonts w:hint="eastAsia" w:ascii="黑体" w:eastAsia="黑体"/>
          <w:b/>
          <w:bCs/>
        </w:rPr>
        <w:t>核心课程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画法几何与建筑制图、房屋建筑学、施工组织设计、建筑结构、工程经济学、</w:t>
      </w:r>
      <w:r>
        <w:rPr>
          <w:rFonts w:ascii="ˎ̥" w:hAnsi="ˎ̥" w:cs="宋体"/>
          <w:kern w:val="0"/>
          <w:szCs w:val="21"/>
        </w:rPr>
        <w:t>工程项目管理、工程</w:t>
      </w:r>
      <w:r>
        <w:rPr>
          <w:rFonts w:hint="eastAsia" w:ascii="ˎ̥" w:hAnsi="ˎ̥" w:cs="宋体"/>
          <w:kern w:val="0"/>
          <w:szCs w:val="21"/>
        </w:rPr>
        <w:t>估价与管理</w:t>
      </w:r>
      <w:r>
        <w:rPr>
          <w:rFonts w:ascii="ˎ̥" w:hAnsi="ˎ̥" w:cs="宋体"/>
          <w:kern w:val="0"/>
          <w:szCs w:val="21"/>
        </w:rPr>
        <w:t>、</w:t>
      </w:r>
      <w:r>
        <w:rPr>
          <w:rFonts w:hint="eastAsia"/>
        </w:rPr>
        <w:t>工程招投标与合同管理等。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主要实践教学环节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生产认识实习、工程测量实习、房屋建筑学课程设计、工程经济学大型作业、工程估价与管理大型作业、工程项目管理综合训练、工程招投标管理综合训练、毕业实习和毕业设计（论文）等。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主要专业实验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rPr>
        <w:t>建筑材料课程实验、地基基础课程实验、工程估价与管理课程实验、电力工程概预算课程实验、管理信息系统课程实验等。</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240" w:lineRule="auto"/>
        <w:jc w:val="both"/>
        <w:textAlignment w:val="auto"/>
        <w:rPr>
          <w:rFonts w:eastAsia="黑体"/>
          <w:b/>
          <w:bCs/>
        </w:rPr>
      </w:pPr>
    </w:p>
    <w:p>
      <w:pPr>
        <w:keepNext w:val="0"/>
        <w:keepLines w:val="0"/>
        <w:pageBreakBefore w:val="0"/>
        <w:widowControl w:val="0"/>
        <w:numPr>
          <w:ilvl w:val="0"/>
          <w:numId w:val="1"/>
        </w:numPr>
        <w:tabs>
          <w:tab w:val="left" w:pos="420"/>
        </w:tabs>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毕业学分要求及授予学位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r>
        <w:rPr>
          <w:rFonts w:hint="eastAsia"/>
          <w:szCs w:val="20"/>
        </w:rPr>
        <w:t>学生在规定的时间内学完培养方案规定的全部课程和学习任务获得相应的学分（修满 1</w:t>
      </w:r>
      <w:r>
        <w:rPr>
          <w:rFonts w:hint="eastAsia"/>
          <w:szCs w:val="20"/>
          <w:lang w:val="en-US" w:eastAsia="zh-CN"/>
        </w:rPr>
        <w:t>62</w:t>
      </w:r>
      <w:r>
        <w:rPr>
          <w:rFonts w:hint="eastAsia"/>
          <w:szCs w:val="20"/>
        </w:rPr>
        <w:t>.5学分），素质拓展教育4学分（包括社会实践、大学生科学创新实践和学科竞赛等，由团委统一安排），劳动教育32学时，</w:t>
      </w:r>
      <w:r>
        <w:rPr>
          <w:rFonts w:hint="eastAsia"/>
          <w:color w:val="000000"/>
          <w:szCs w:val="21"/>
        </w:rPr>
        <w:t>达到《国家学生体质健康标准》合格要求</w:t>
      </w:r>
      <w:r>
        <w:rPr>
          <w:rFonts w:hint="eastAsia"/>
          <w:color w:val="000000"/>
          <w:szCs w:val="21"/>
          <w:lang w:eastAsia="zh-CN"/>
        </w:rPr>
        <w:t>，</w:t>
      </w:r>
      <w:r>
        <w:rPr>
          <w:rFonts w:hint="eastAsia"/>
          <w:szCs w:val="20"/>
        </w:rPr>
        <w:t>符合各项要求者，准予毕业并发给毕业证书。毕业生符合国家和学校的有关规定者，经校学位委员会审查通过，授予管理学学士学位。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rPr>
      </w:pPr>
    </w:p>
    <w:p>
      <w:pPr>
        <w:numPr>
          <w:ilvl w:val="0"/>
          <w:numId w:val="1"/>
        </w:numPr>
        <w:tabs>
          <w:tab w:val="left" w:pos="420"/>
        </w:tabs>
        <w:spacing w:afterLines="50"/>
        <w:rPr>
          <w:rFonts w:eastAsia="黑体"/>
          <w:b/>
          <w:bCs/>
        </w:rPr>
      </w:pPr>
      <w:r>
        <w:rPr>
          <w:rFonts w:hint="eastAsia" w:eastAsia="黑体"/>
          <w:b/>
          <w:bCs/>
        </w:rPr>
        <w:t xml:space="preserve">各类课程学时学分分配表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682"/>
        <w:gridCol w:w="180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vAlign w:val="center"/>
          </w:tcPr>
          <w:p>
            <w:pPr>
              <w:jc w:val="left"/>
              <w:rPr>
                <w:rFonts w:hint="default" w:ascii="Times New Roman" w:hAnsi="Times New Roman" w:cs="Times New Roman"/>
                <w:szCs w:val="21"/>
              </w:rPr>
            </w:pPr>
            <w:r>
              <w:rPr>
                <w:rFonts w:hint="default" w:ascii="Times New Roman" w:hAnsi="Times New Roman" w:cs="Times New Roman"/>
                <w:szCs w:val="21"/>
              </w:rPr>
              <w:t>学时分配（课内2</w:t>
            </w:r>
            <w:r>
              <w:rPr>
                <w:rFonts w:hint="eastAsia" w:cs="Times New Roman"/>
                <w:szCs w:val="21"/>
                <w:lang w:val="en-US" w:eastAsia="zh-CN"/>
              </w:rPr>
              <w:t>232</w:t>
            </w:r>
            <w:r>
              <w:rPr>
                <w:rFonts w:hint="default" w:ascii="Times New Roman" w:hAnsi="Times New Roman" w:cs="Times New Roman"/>
                <w:szCs w:val="21"/>
              </w:rPr>
              <w:t>学时，集中实践560学时，共2</w:t>
            </w:r>
            <w:r>
              <w:rPr>
                <w:rFonts w:hint="eastAsia" w:cs="Times New Roman"/>
                <w:szCs w:val="21"/>
                <w:lang w:val="en-US" w:eastAsia="zh-CN"/>
              </w:rPr>
              <w:t>792</w:t>
            </w:r>
            <w:r>
              <w:rPr>
                <w:rFonts w:hint="default" w:ascii="Times New Roman" w:hAnsi="Times New Roman" w:cs="Times New Roman"/>
                <w:szCs w:val="21"/>
              </w:rPr>
              <w:t>学时，其中必修课</w:t>
            </w:r>
            <w:r>
              <w:rPr>
                <w:rFonts w:hint="eastAsia" w:cs="Times New Roman"/>
                <w:szCs w:val="21"/>
                <w:lang w:val="en-US" w:eastAsia="zh-CN"/>
              </w:rPr>
              <w:t>2360</w:t>
            </w:r>
            <w:r>
              <w:rPr>
                <w:rFonts w:hint="default" w:ascii="Times New Roman" w:hAnsi="Times New Roman" w:cs="Times New Roman"/>
                <w:szCs w:val="21"/>
              </w:rPr>
              <w:t>学时,选修课432学时）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0"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类别</w:t>
            </w:r>
          </w:p>
        </w:tc>
        <w:tc>
          <w:tcPr>
            <w:tcW w:w="3682"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内容</w:t>
            </w:r>
          </w:p>
        </w:tc>
        <w:tc>
          <w:tcPr>
            <w:tcW w:w="3142" w:type="dxa"/>
            <w:gridSpan w:val="2"/>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通识必修课程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思政类、语言与工具类、综合素养类、能源电力特色类等：（</w:t>
            </w:r>
            <w:r>
              <w:rPr>
                <w:rFonts w:hint="eastAsia" w:cs="Times New Roman"/>
                <w:szCs w:val="21"/>
                <w:lang w:val="en-US" w:eastAsia="zh-CN"/>
              </w:rPr>
              <w:t>744</w:t>
            </w:r>
            <w:r>
              <w:rPr>
                <w:rFonts w:hint="default" w:ascii="Times New Roman" w:hAnsi="Times New Roman" w:cs="Times New Roman"/>
                <w:szCs w:val="21"/>
              </w:rPr>
              <w:t>学时）</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3</w:t>
            </w:r>
            <w:r>
              <w:rPr>
                <w:rFonts w:hint="eastAsia" w:cs="Times New Roman"/>
                <w:szCs w:val="21"/>
                <w:lang w:val="en-US" w:eastAsia="zh-CN"/>
              </w:rPr>
              <w:t>3.33</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通识选修课程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人文社科类、艺术审美类、自然科学类、英语拓展类：（160学时）</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7.</w:t>
            </w:r>
            <w:r>
              <w:rPr>
                <w:rFonts w:hint="eastAsia" w:cs="Times New Roman"/>
                <w:szCs w:val="21"/>
                <w:lang w:val="en-US" w:eastAsia="zh-CN"/>
              </w:rPr>
              <w:t>17</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260" w:type="dxa"/>
            <w:vMerge w:val="restart"/>
            <w:vAlign w:val="center"/>
          </w:tcPr>
          <w:p>
            <w:pPr>
              <w:jc w:val="center"/>
              <w:rPr>
                <w:rFonts w:hint="default" w:ascii="Times New Roman" w:hAnsi="Times New Roman" w:cs="Times New Roman"/>
                <w:color w:val="FF0000"/>
                <w:szCs w:val="21"/>
              </w:rPr>
            </w:pPr>
            <w:r>
              <w:rPr>
                <w:rFonts w:hint="default" w:ascii="Times New Roman" w:hAnsi="Times New Roman" w:cs="Times New Roman"/>
                <w:szCs w:val="21"/>
              </w:rPr>
              <w:t>学科基础课程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公共基础课：（</w:t>
            </w:r>
            <w:r>
              <w:rPr>
                <w:rFonts w:hint="eastAsia" w:cs="Times New Roman"/>
                <w:szCs w:val="21"/>
                <w:lang w:val="en-US" w:eastAsia="zh-CN"/>
              </w:rPr>
              <w:t>368</w:t>
            </w:r>
            <w:r>
              <w:rPr>
                <w:rFonts w:hint="default" w:ascii="Times New Roman" w:hAnsi="Times New Roman" w:cs="Times New Roman"/>
                <w:szCs w:val="21"/>
              </w:rPr>
              <w:t>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szCs w:val="21"/>
                <w:lang w:val="en-US" w:eastAsia="zh-CN"/>
              </w:rPr>
              <w:t>16.49</w:t>
            </w:r>
            <w:r>
              <w:rPr>
                <w:rFonts w:hint="default" w:ascii="Times New Roman" w:hAnsi="Times New Roman" w:cs="Times New Roman"/>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3</w:t>
            </w:r>
            <w:r>
              <w:rPr>
                <w:rFonts w:hint="eastAsia" w:cs="Times New Roman"/>
                <w:szCs w:val="21"/>
                <w:lang w:val="en-US" w:eastAsia="zh-CN"/>
              </w:rPr>
              <w:t>2.26</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260" w:type="dxa"/>
            <w:vMerge w:val="continue"/>
            <w:vAlign w:val="center"/>
          </w:tcPr>
          <w:p>
            <w:pPr>
              <w:jc w:val="center"/>
              <w:rPr>
                <w:rFonts w:hint="default" w:ascii="Times New Roman" w:hAnsi="Times New Roman" w:cs="Times New Roman"/>
                <w:color w:val="FF0000"/>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专业基础课：（</w:t>
            </w:r>
            <w:r>
              <w:rPr>
                <w:rFonts w:hint="eastAsia" w:cs="Times New Roman"/>
                <w:szCs w:val="21"/>
                <w:lang w:val="en-US" w:eastAsia="zh-CN"/>
              </w:rPr>
              <w:t>352</w:t>
            </w:r>
            <w:r>
              <w:rPr>
                <w:rFonts w:hint="default" w:ascii="Times New Roman" w:hAnsi="Times New Roman" w:cs="Times New Roman"/>
                <w:szCs w:val="21"/>
              </w:rPr>
              <w:t>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szCs w:val="21"/>
                <w:lang w:val="en-US" w:eastAsia="zh-CN"/>
              </w:rPr>
              <w:t>15.77</w:t>
            </w:r>
            <w:r>
              <w:rPr>
                <w:rFonts w:hint="default" w:ascii="Times New Roman" w:hAnsi="Times New Roman" w:cs="Times New Roman"/>
                <w:szCs w:val="21"/>
              </w:rPr>
              <w:t>%</w:t>
            </w:r>
          </w:p>
        </w:tc>
        <w:tc>
          <w:tcPr>
            <w:tcW w:w="1342" w:type="dxa"/>
            <w:vMerge w:val="continue"/>
            <w:vAlign w:val="center"/>
          </w:tcPr>
          <w:p>
            <w:pPr>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专业教育课程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专业核心课（必修）：（336学时）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15.</w:t>
            </w:r>
            <w:r>
              <w:rPr>
                <w:rFonts w:hint="eastAsia" w:cs="Times New Roman"/>
                <w:szCs w:val="21"/>
                <w:lang w:val="en-US" w:eastAsia="zh-CN"/>
              </w:rPr>
              <w:t>05</w:t>
            </w:r>
            <w:r>
              <w:rPr>
                <w:rFonts w:hint="default" w:ascii="Times New Roman" w:hAnsi="Times New Roman" w:cs="Times New Roman"/>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2</w:t>
            </w:r>
            <w:r>
              <w:rPr>
                <w:rFonts w:hint="eastAsia" w:cs="Times New Roman"/>
                <w:szCs w:val="21"/>
                <w:lang w:val="en-US" w:eastAsia="zh-CN"/>
              </w:rPr>
              <w:t>7.24</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260" w:type="dxa"/>
            <w:vMerge w:val="continue"/>
            <w:vAlign w:val="center"/>
          </w:tcPr>
          <w:p>
            <w:pPr>
              <w:rPr>
                <w:rFonts w:hint="default" w:ascii="Times New Roman" w:hAnsi="Times New Roman" w:cs="Times New Roman"/>
              </w:rPr>
            </w:pPr>
          </w:p>
        </w:tc>
        <w:tc>
          <w:tcPr>
            <w:tcW w:w="3682" w:type="dxa"/>
            <w:vAlign w:val="center"/>
          </w:tcPr>
          <w:p>
            <w:pPr>
              <w:rPr>
                <w:rFonts w:hint="default" w:ascii="Times New Roman" w:hAnsi="Times New Roman" w:cs="Times New Roman"/>
              </w:rPr>
            </w:pPr>
            <w:r>
              <w:rPr>
                <w:rFonts w:hint="default" w:ascii="Times New Roman" w:hAnsi="Times New Roman" w:cs="Times New Roman"/>
              </w:rPr>
              <w:t>专业选修课：（272学时）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12.</w:t>
            </w:r>
            <w:r>
              <w:rPr>
                <w:rFonts w:hint="eastAsia" w:cs="Times New Roman"/>
                <w:szCs w:val="21"/>
                <w:lang w:val="en-US" w:eastAsia="zh-CN"/>
              </w:rPr>
              <w:t>19</w:t>
            </w:r>
            <w:r>
              <w:rPr>
                <w:rFonts w:hint="default" w:ascii="Times New Roman" w:hAnsi="Times New Roman" w:cs="Times New Roman"/>
                <w:szCs w:val="21"/>
              </w:rPr>
              <w:t>%</w:t>
            </w:r>
          </w:p>
        </w:tc>
        <w:tc>
          <w:tcPr>
            <w:tcW w:w="1342" w:type="dxa"/>
            <w:vMerge w:val="continue"/>
            <w:vAlign w:val="center"/>
          </w:tcPr>
          <w:p>
            <w:pP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集中实践课程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必修课课内实验、上机等：（</w:t>
            </w:r>
            <w:r>
              <w:rPr>
                <w:rFonts w:hint="eastAsia" w:cs="Times New Roman"/>
                <w:szCs w:val="21"/>
                <w:lang w:val="en-US" w:eastAsia="zh-CN"/>
              </w:rPr>
              <w:t>96</w:t>
            </w:r>
            <w:r>
              <w:rPr>
                <w:rFonts w:hint="default" w:ascii="Times New Roman" w:hAnsi="Times New Roman" w:cs="Times New Roman"/>
                <w:szCs w:val="21"/>
              </w:rPr>
              <w:t>学时）</w:t>
            </w:r>
          </w:p>
        </w:tc>
        <w:tc>
          <w:tcPr>
            <w:tcW w:w="3142" w:type="dxa"/>
            <w:gridSpan w:val="2"/>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占必修课总学时</w:t>
            </w:r>
            <w:r>
              <w:rPr>
                <w:rFonts w:hint="eastAsia" w:cs="Times New Roman"/>
                <w:szCs w:val="21"/>
                <w:lang w:val="en-US" w:eastAsia="zh-CN"/>
              </w:rPr>
              <w:t>27.80</w:t>
            </w: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Pr>
          <w:p>
            <w:pPr>
              <w:jc w:val="center"/>
              <w:rPr>
                <w:rFonts w:hint="default" w:ascii="Times New Roman" w:hAnsi="Times New Roman" w:cs="Times New Roman"/>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集中实践教学环节：（560学时）</w:t>
            </w:r>
          </w:p>
        </w:tc>
        <w:tc>
          <w:tcPr>
            <w:tcW w:w="3142" w:type="dxa"/>
            <w:gridSpan w:val="2"/>
            <w:vMerge w:val="continue"/>
          </w:tcPr>
          <w:p>
            <w:pPr>
              <w:jc w:val="center"/>
              <w:rPr>
                <w:rFonts w:hint="default" w:ascii="Times New Roman" w:hAnsi="Times New Roman" w:cs="Times New Roman"/>
                <w:szCs w:val="21"/>
              </w:rPr>
            </w:pPr>
          </w:p>
        </w:tc>
      </w:tr>
    </w:tbl>
    <w:p>
      <w:pPr>
        <w:rPr>
          <w:rFonts w:hint="eastAsia" w:eastAsia="黑体"/>
          <w:b/>
          <w:bCs/>
        </w:rPr>
      </w:pPr>
    </w:p>
    <w:p>
      <w:pPr>
        <w:rPr>
          <w:rFonts w:hint="eastAsia" w:eastAsia="黑体"/>
          <w:b/>
          <w:bCs/>
        </w:rPr>
      </w:pPr>
      <w:r>
        <w:rPr>
          <w:rFonts w:hint="eastAsia" w:eastAsia="黑体"/>
          <w:b/>
          <w:bCs/>
        </w:rPr>
        <w:t>十、教学安排指导表（另附表）</w:t>
      </w: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bidi w:val="0"/>
        <w:rPr>
          <w:rFonts w:hint="eastAsia" w:ascii="Times New Roman" w:hAnsi="Times New Roman" w:eastAsia="宋体" w:cs="Times New Roman"/>
          <w:kern w:val="2"/>
          <w:sz w:val="21"/>
          <w:szCs w:val="24"/>
          <w:lang w:val="en-US" w:eastAsia="zh-CN" w:bidi="ar-SA"/>
        </w:rPr>
      </w:pPr>
    </w:p>
    <w:p>
      <w:pPr>
        <w:adjustRightInd w:val="0"/>
        <w:snapToGrid w:val="0"/>
        <w:rPr>
          <w:rFonts w:ascii="宋体" w:hAnsi="宋体" w:eastAsia="黑体"/>
          <w:b/>
          <w:sz w:val="28"/>
          <w:szCs w:val="28"/>
        </w:rPr>
      </w:pPr>
      <w:r>
        <w:rPr>
          <w:rFonts w:hint="eastAsia" w:ascii="黑体" w:hAnsi="黑体" w:eastAsia="黑体" w:cs="黑体"/>
          <w:b/>
          <w:bCs/>
          <w:szCs w:val="21"/>
        </w:rPr>
        <w:t>十一、专业培养目标、毕业要求及其与课程的对应关系表</w:t>
      </w:r>
    </w:p>
    <w:p>
      <w:pPr>
        <w:adjustRightInd w:val="0"/>
        <w:snapToGrid w:val="0"/>
        <w:spacing w:line="360" w:lineRule="auto"/>
        <w:rPr>
          <w:rFonts w:hint="eastAsia" w:ascii="黑体" w:hAnsi="黑体" w:eastAsia="黑体" w:cs="黑体"/>
          <w:bCs/>
          <w:szCs w:val="21"/>
        </w:rPr>
      </w:pPr>
      <w:r>
        <w:rPr>
          <w:rFonts w:hint="eastAsia" w:ascii="黑体" w:hAnsi="黑体" w:eastAsia="黑体" w:cs="黑体"/>
          <w:bCs/>
          <w:szCs w:val="21"/>
        </w:rPr>
        <w:t>（一）专业毕业要求与培养目标的支撑关系</w:t>
      </w:r>
    </w:p>
    <w:tbl>
      <w:tblPr>
        <w:tblStyle w:val="6"/>
        <w:tblW w:w="0" w:type="auto"/>
        <w:jc w:val="center"/>
        <w:tblLayout w:type="autofit"/>
        <w:tblCellMar>
          <w:top w:w="0" w:type="dxa"/>
          <w:left w:w="108" w:type="dxa"/>
          <w:bottom w:w="0" w:type="dxa"/>
          <w:right w:w="108" w:type="dxa"/>
        </w:tblCellMar>
      </w:tblPr>
      <w:tblGrid>
        <w:gridCol w:w="1319"/>
        <w:gridCol w:w="1214"/>
        <w:gridCol w:w="1214"/>
        <w:gridCol w:w="1214"/>
        <w:gridCol w:w="1214"/>
        <w:gridCol w:w="1214"/>
      </w:tblGrid>
      <w:tr>
        <w:tblPrEx>
          <w:tblCellMar>
            <w:top w:w="0" w:type="dxa"/>
            <w:left w:w="108" w:type="dxa"/>
            <w:bottom w:w="0" w:type="dxa"/>
            <w:right w:w="108" w:type="dxa"/>
          </w:tblCellMar>
        </w:tblPrEx>
        <w:trPr>
          <w:trHeight w:val="754" w:hRule="atLeast"/>
          <w:jc w:val="center"/>
        </w:trPr>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培养目标1</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培养目标2</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培养目标3</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培养目标4</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培养目标5</w:t>
            </w: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毕业要求2</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毕业要求3</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毕业要求4</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毕业要求5</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毕业要求6</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毕业要求7</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毕业要求8</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毕业要求9</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毕业要求10</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毕业要求11</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毕业要求12</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454" w:hRule="exac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毕业要求13</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bl>
    <w:p>
      <w:pPr>
        <w:widowControl/>
        <w:rPr>
          <w:szCs w:val="21"/>
        </w:rPr>
      </w:pPr>
      <w:r>
        <w:rPr>
          <w:rFonts w:hint="eastAsia"/>
          <w:szCs w:val="21"/>
        </w:rPr>
        <w:t>注：在有对应关系的框内填“√”</w:t>
      </w:r>
    </w:p>
    <w:p>
      <w:pPr>
        <w:numPr>
          <w:ilvl w:val="0"/>
          <w:numId w:val="0"/>
        </w:numPr>
        <w:adjustRightInd w:val="0"/>
        <w:snapToGrid w:val="0"/>
        <w:spacing w:line="360" w:lineRule="auto"/>
        <w:rPr>
          <w:rFonts w:hint="eastAsia" w:ascii="黑体" w:hAnsi="黑体" w:eastAsia="黑体" w:cs="黑体"/>
          <w:bCs/>
          <w:szCs w:val="21"/>
        </w:rPr>
      </w:pPr>
    </w:p>
    <w:p>
      <w:pPr>
        <w:numPr>
          <w:ilvl w:val="0"/>
          <w:numId w:val="0"/>
        </w:numPr>
        <w:adjustRightInd w:val="0"/>
        <w:snapToGrid w:val="0"/>
        <w:spacing w:line="360" w:lineRule="auto"/>
        <w:rPr>
          <w:rFonts w:hint="eastAsia" w:ascii="黑体" w:hAnsi="黑体" w:eastAsia="黑体" w:cs="黑体"/>
          <w:b/>
          <w:color w:val="FF0000"/>
          <w:szCs w:val="21"/>
        </w:rPr>
      </w:pPr>
      <w:r>
        <w:rPr>
          <w:rFonts w:hint="eastAsia" w:ascii="黑体" w:hAnsi="黑体" w:eastAsia="黑体" w:cs="黑体"/>
          <w:bCs/>
          <w:szCs w:val="21"/>
          <w:lang w:eastAsia="zh-CN"/>
        </w:rPr>
        <w:t>（</w:t>
      </w:r>
      <w:r>
        <w:rPr>
          <w:rFonts w:hint="eastAsia" w:ascii="黑体" w:hAnsi="黑体" w:eastAsia="黑体" w:cs="黑体"/>
          <w:bCs/>
          <w:szCs w:val="21"/>
          <w:lang w:val="en-US" w:eastAsia="zh-CN"/>
        </w:rPr>
        <w:t>二</w:t>
      </w:r>
      <w:r>
        <w:rPr>
          <w:rFonts w:hint="eastAsia" w:ascii="黑体" w:hAnsi="黑体" w:eastAsia="黑体" w:cs="黑体"/>
          <w:bCs/>
          <w:szCs w:val="21"/>
          <w:lang w:eastAsia="zh-CN"/>
        </w:rPr>
        <w:t>）</w:t>
      </w:r>
      <w:r>
        <w:rPr>
          <w:rFonts w:hint="eastAsia" w:ascii="黑体" w:hAnsi="黑体" w:eastAsia="黑体" w:cs="黑体"/>
          <w:bCs/>
          <w:szCs w:val="21"/>
        </w:rPr>
        <w:t>专业所设课程对毕业要求的支撑矩阵图</w:t>
      </w:r>
    </w:p>
    <w:tbl>
      <w:tblPr>
        <w:tblStyle w:val="6"/>
        <w:tblW w:w="49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8"/>
        <w:gridCol w:w="477"/>
        <w:gridCol w:w="477"/>
        <w:gridCol w:w="477"/>
        <w:gridCol w:w="477"/>
        <w:gridCol w:w="477"/>
        <w:gridCol w:w="477"/>
        <w:gridCol w:w="477"/>
        <w:gridCol w:w="477"/>
        <w:gridCol w:w="477"/>
        <w:gridCol w:w="477"/>
        <w:gridCol w:w="477"/>
        <w:gridCol w:w="477"/>
        <w:gridCol w:w="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blHeader/>
          <w:jc w:val="center"/>
        </w:trPr>
        <w:tc>
          <w:tcPr>
            <w:tcW w:w="1320" w:type="pct"/>
            <w:vAlign w:val="center"/>
          </w:tcPr>
          <w:p>
            <w:pPr>
              <w:widowControl/>
              <w:jc w:val="center"/>
              <w:rPr>
                <w:szCs w:val="21"/>
              </w:rPr>
            </w:pPr>
            <w:r>
              <w:rPr>
                <w:rFonts w:hint="eastAsia"/>
                <w:szCs w:val="21"/>
              </w:rPr>
              <w:t>课程名称</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要求1</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要求2</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要求3</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要求4</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要求5</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要求6</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要求7</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要求8</w:t>
            </w:r>
          </w:p>
        </w:tc>
        <w:tc>
          <w:tcPr>
            <w:tcW w:w="284" w:type="pct"/>
            <w:noWrap/>
            <w:vAlign w:val="center"/>
          </w:tcPr>
          <w:p>
            <w:pPr>
              <w:widowControl/>
              <w:jc w:val="center"/>
              <w:rPr>
                <w:szCs w:val="21"/>
              </w:rPr>
            </w:pPr>
            <w:r>
              <w:rPr>
                <w:rFonts w:hint="eastAsia"/>
                <w:szCs w:val="21"/>
              </w:rPr>
              <w:t>毕业</w:t>
            </w:r>
          </w:p>
          <w:p>
            <w:pPr>
              <w:widowControl/>
              <w:jc w:val="center"/>
              <w:rPr>
                <w:szCs w:val="21"/>
              </w:rPr>
            </w:pPr>
            <w:r>
              <w:rPr>
                <w:rFonts w:hint="eastAsia"/>
                <w:szCs w:val="21"/>
              </w:rPr>
              <w:t>要求9</w:t>
            </w:r>
          </w:p>
        </w:tc>
        <w:tc>
          <w:tcPr>
            <w:tcW w:w="284" w:type="pct"/>
            <w:noWrap/>
            <w:vAlign w:val="center"/>
          </w:tcPr>
          <w:p>
            <w:pPr>
              <w:widowControl/>
              <w:jc w:val="center"/>
              <w:rPr>
                <w:spacing w:val="-20"/>
                <w:szCs w:val="21"/>
              </w:rPr>
            </w:pPr>
            <w:r>
              <w:rPr>
                <w:rFonts w:hint="eastAsia"/>
                <w:spacing w:val="-20"/>
                <w:szCs w:val="21"/>
              </w:rPr>
              <w:t>毕业</w:t>
            </w:r>
          </w:p>
          <w:p>
            <w:pPr>
              <w:widowControl/>
              <w:jc w:val="center"/>
              <w:rPr>
                <w:spacing w:val="-20"/>
                <w:szCs w:val="21"/>
              </w:rPr>
            </w:pPr>
            <w:r>
              <w:rPr>
                <w:rFonts w:hint="eastAsia"/>
                <w:spacing w:val="-20"/>
                <w:szCs w:val="21"/>
              </w:rPr>
              <w:t>要求10</w:t>
            </w:r>
          </w:p>
        </w:tc>
        <w:tc>
          <w:tcPr>
            <w:tcW w:w="284" w:type="pct"/>
            <w:noWrap/>
            <w:vAlign w:val="center"/>
          </w:tcPr>
          <w:p>
            <w:pPr>
              <w:widowControl/>
              <w:jc w:val="center"/>
              <w:rPr>
                <w:spacing w:val="-20"/>
                <w:szCs w:val="21"/>
              </w:rPr>
            </w:pPr>
            <w:r>
              <w:rPr>
                <w:rFonts w:hint="eastAsia"/>
                <w:spacing w:val="-20"/>
                <w:szCs w:val="21"/>
              </w:rPr>
              <w:t>毕业</w:t>
            </w:r>
          </w:p>
          <w:p>
            <w:pPr>
              <w:widowControl/>
              <w:jc w:val="center"/>
              <w:rPr>
                <w:spacing w:val="-20"/>
                <w:szCs w:val="21"/>
              </w:rPr>
            </w:pPr>
            <w:r>
              <w:rPr>
                <w:rFonts w:hint="eastAsia"/>
                <w:spacing w:val="-20"/>
                <w:szCs w:val="21"/>
              </w:rPr>
              <w:t>要求11</w:t>
            </w:r>
          </w:p>
        </w:tc>
        <w:tc>
          <w:tcPr>
            <w:tcW w:w="284" w:type="pct"/>
            <w:noWrap/>
            <w:vAlign w:val="center"/>
          </w:tcPr>
          <w:p>
            <w:pPr>
              <w:widowControl/>
              <w:jc w:val="center"/>
              <w:rPr>
                <w:spacing w:val="-20"/>
                <w:szCs w:val="21"/>
              </w:rPr>
            </w:pPr>
            <w:r>
              <w:rPr>
                <w:rFonts w:hint="eastAsia"/>
                <w:spacing w:val="-20"/>
                <w:szCs w:val="21"/>
              </w:rPr>
              <w:t>毕业</w:t>
            </w:r>
          </w:p>
          <w:p>
            <w:pPr>
              <w:widowControl/>
              <w:jc w:val="center"/>
              <w:rPr>
                <w:spacing w:val="-20"/>
                <w:szCs w:val="21"/>
              </w:rPr>
            </w:pPr>
            <w:r>
              <w:rPr>
                <w:rFonts w:hint="eastAsia"/>
                <w:spacing w:val="-20"/>
                <w:szCs w:val="21"/>
              </w:rPr>
              <w:t>要求12</w:t>
            </w:r>
          </w:p>
        </w:tc>
        <w:tc>
          <w:tcPr>
            <w:tcW w:w="264" w:type="pct"/>
            <w:noWrap/>
            <w:vAlign w:val="center"/>
          </w:tcPr>
          <w:p>
            <w:pPr>
              <w:widowControl/>
              <w:jc w:val="center"/>
              <w:rPr>
                <w:spacing w:val="-20"/>
                <w:szCs w:val="21"/>
              </w:rPr>
            </w:pPr>
            <w:r>
              <w:rPr>
                <w:rFonts w:hint="eastAsia"/>
                <w:spacing w:val="-20"/>
                <w:szCs w:val="21"/>
              </w:rPr>
              <w:t>毕业要求13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思想道德与法治</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中国近现代史纲要</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1320" w:type="pct"/>
            <w:noWrap/>
            <w:vAlign w:val="center"/>
          </w:tcPr>
          <w:p>
            <w:pPr>
              <w:widowControl/>
              <w:rPr>
                <w:rFonts w:hint="eastAsia"/>
                <w:szCs w:val="21"/>
              </w:rPr>
            </w:pPr>
            <w:r>
              <w:rPr>
                <w:rFonts w:hint="eastAsia"/>
                <w:szCs w:val="21"/>
              </w:rPr>
              <w:t>习近平新时代中国特色社会主义思想概论</w:t>
            </w: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M</w:t>
            </w: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rFonts w:hint="eastAsia" w:eastAsia="宋体"/>
                <w:szCs w:val="21"/>
                <w:lang w:val="en-US" w:eastAsia="zh-CN"/>
              </w:rPr>
            </w:pPr>
            <w:r>
              <w:rPr>
                <w:rFonts w:hint="eastAsia"/>
                <w:szCs w:val="21"/>
                <w:lang w:val="en-US" w:eastAsia="zh-CN"/>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exact"/>
          <w:jc w:val="center"/>
        </w:trPr>
        <w:tc>
          <w:tcPr>
            <w:tcW w:w="1320" w:type="pct"/>
            <w:noWrap/>
            <w:vAlign w:val="center"/>
          </w:tcPr>
          <w:p>
            <w:pPr>
              <w:widowControl/>
              <w:rPr>
                <w:szCs w:val="21"/>
              </w:rPr>
            </w:pPr>
            <w:r>
              <w:rPr>
                <w:rFonts w:hint="eastAsia"/>
                <w:szCs w:val="21"/>
              </w:rPr>
              <w:t>毛泽东思想和中国特色社会主义</w:t>
            </w:r>
            <w:bookmarkStart w:id="0" w:name="_GoBack"/>
            <w:bookmarkEnd w:id="0"/>
            <w:r>
              <w:rPr>
                <w:rFonts w:hint="eastAsia"/>
                <w:szCs w:val="21"/>
              </w:rPr>
              <w:t>理论体系概论</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exact"/>
          <w:jc w:val="center"/>
        </w:trPr>
        <w:tc>
          <w:tcPr>
            <w:tcW w:w="1320" w:type="pct"/>
            <w:noWrap/>
            <w:vAlign w:val="center"/>
          </w:tcPr>
          <w:p>
            <w:pPr>
              <w:widowControl/>
              <w:rPr>
                <w:rFonts w:hint="eastAsia"/>
                <w:szCs w:val="21"/>
              </w:rPr>
            </w:pPr>
            <w:r>
              <w:rPr>
                <w:rFonts w:hint="eastAsia"/>
                <w:szCs w:val="21"/>
              </w:rPr>
              <w:t>马克思主义基本原理</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形势与政策（1）（2）（3）</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大学英语（1）（2）</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能源电力英语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Python语言程序设计</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大学体育课程</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320" w:type="pct"/>
            <w:noWrap/>
            <w:vAlign w:val="center"/>
          </w:tcPr>
          <w:p>
            <w:pPr>
              <w:widowControl/>
              <w:rPr>
                <w:szCs w:val="21"/>
              </w:rPr>
            </w:pPr>
            <w:r>
              <w:rPr>
                <w:rFonts w:hint="eastAsia"/>
                <w:szCs w:val="21"/>
              </w:rPr>
              <w:t>大学生入学教育与生涯规划</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大学生心理健康</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军事理论</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创新创业基础</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320" w:type="pct"/>
            <w:noWrap/>
            <w:vAlign w:val="center"/>
          </w:tcPr>
          <w:p>
            <w:pPr>
              <w:widowControl/>
              <w:rPr>
                <w:szCs w:val="21"/>
              </w:rPr>
            </w:pPr>
            <w:r>
              <w:rPr>
                <w:rFonts w:hint="eastAsia"/>
                <w:szCs w:val="21"/>
              </w:rPr>
              <w:t>大学生就业与创业实务</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能源中国</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丝路之光</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1320" w:type="pct"/>
            <w:noWrap/>
            <w:vAlign w:val="center"/>
          </w:tcPr>
          <w:p>
            <w:pPr>
              <w:widowControl/>
              <w:rPr>
                <w:rFonts w:hint="eastAsia"/>
                <w:szCs w:val="21"/>
              </w:rPr>
            </w:pPr>
            <w:r>
              <w:rPr>
                <w:rFonts w:hint="eastAsia"/>
                <w:szCs w:val="21"/>
              </w:rPr>
              <w:t>能源电力概论系列课程</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 xml:space="preserve">高等数学A(1)(2)     </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线性代数A</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rFonts w:hint="eastAsia"/>
                <w:szCs w:val="21"/>
              </w:rPr>
            </w:pPr>
            <w:r>
              <w:rPr>
                <w:rFonts w:hint="eastAsia"/>
                <w:szCs w:val="21"/>
              </w:rPr>
              <w:t>工程力学（上)（下）</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经济学原理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管理学原理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统计学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概率论与数理统计B</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会计学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运筹学C</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工程管理导论</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土木工程概论</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建筑材料</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工程测量</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地基基础</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建设法规</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施工技术</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画法几何与建筑制图</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施工组织设计</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房屋建筑学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建筑结构</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工程经济学</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工程项目管理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exact"/>
          <w:jc w:val="center"/>
        </w:trPr>
        <w:tc>
          <w:tcPr>
            <w:tcW w:w="1320" w:type="pct"/>
            <w:noWrap/>
            <w:vAlign w:val="center"/>
          </w:tcPr>
          <w:p>
            <w:pPr>
              <w:widowControl/>
              <w:rPr>
                <w:szCs w:val="21"/>
              </w:rPr>
            </w:pPr>
            <w:r>
              <w:rPr>
                <w:rFonts w:hint="eastAsia"/>
                <w:szCs w:val="21"/>
              </w:rPr>
              <w:t>工程招投标与合同管理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工程估价与管理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电力工程概预算</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建筑设备</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管理信息系统</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1320" w:type="pct"/>
            <w:noWrap/>
            <w:vAlign w:val="center"/>
          </w:tcPr>
          <w:p>
            <w:pPr>
              <w:widowControl/>
              <w:rPr>
                <w:szCs w:val="21"/>
              </w:rPr>
            </w:pPr>
            <w:r>
              <w:rPr>
                <w:rFonts w:hint="eastAsia"/>
                <w:szCs w:val="21"/>
              </w:rPr>
              <w:t>建筑CAD与建筑信息模型</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电路分析E</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房地产估价</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建设项目评估</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经济法</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exact"/>
          <w:jc w:val="center"/>
        </w:trPr>
        <w:tc>
          <w:tcPr>
            <w:tcW w:w="1320" w:type="pct"/>
            <w:noWrap/>
            <w:vAlign w:val="center"/>
          </w:tcPr>
          <w:p>
            <w:pPr>
              <w:widowControl/>
              <w:rPr>
                <w:szCs w:val="21"/>
              </w:rPr>
            </w:pPr>
            <w:r>
              <w:rPr>
                <w:rFonts w:hint="eastAsia"/>
                <w:szCs w:val="21"/>
              </w:rPr>
              <w:t>房地产开发经营与管理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工程管理专业英语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国际工程管理（双语）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r>
              <w:rPr>
                <w:rFonts w:hint="eastAsia"/>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工程防灾与风险管理</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工程项目融资</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电力系统分析</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电气主系统</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继电保护</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军事技能</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生产认识实习</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工程认知实训</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工程测量实习</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房屋建筑学课程设计</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exact"/>
          <w:jc w:val="center"/>
        </w:trPr>
        <w:tc>
          <w:tcPr>
            <w:tcW w:w="1320" w:type="pct"/>
            <w:noWrap/>
            <w:vAlign w:val="center"/>
          </w:tcPr>
          <w:p>
            <w:pPr>
              <w:widowControl/>
              <w:rPr>
                <w:szCs w:val="21"/>
              </w:rPr>
            </w:pPr>
            <w:r>
              <w:rPr>
                <w:rFonts w:hint="eastAsia"/>
                <w:szCs w:val="21"/>
              </w:rPr>
              <w:t>工程项目管理综合训练</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工程经济学大型作业</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L</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jc w:val="center"/>
        </w:trPr>
        <w:tc>
          <w:tcPr>
            <w:tcW w:w="1320" w:type="pct"/>
            <w:noWrap/>
            <w:vAlign w:val="center"/>
          </w:tcPr>
          <w:p>
            <w:pPr>
              <w:widowControl/>
              <w:rPr>
                <w:szCs w:val="21"/>
              </w:rPr>
            </w:pPr>
            <w:r>
              <w:rPr>
                <w:rFonts w:hint="eastAsia"/>
                <w:szCs w:val="21"/>
              </w:rPr>
              <w:t>工程招投标管理综合训练</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exact"/>
          <w:jc w:val="center"/>
        </w:trPr>
        <w:tc>
          <w:tcPr>
            <w:tcW w:w="1320" w:type="pct"/>
            <w:noWrap/>
            <w:vAlign w:val="center"/>
          </w:tcPr>
          <w:p>
            <w:pPr>
              <w:widowControl/>
              <w:rPr>
                <w:szCs w:val="21"/>
              </w:rPr>
            </w:pPr>
            <w:r>
              <w:rPr>
                <w:rFonts w:hint="eastAsia"/>
                <w:szCs w:val="21"/>
              </w:rPr>
              <w:t>工程估价与管理大型作业</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H</w:t>
            </w:r>
          </w:p>
        </w:tc>
        <w:tc>
          <w:tcPr>
            <w:tcW w:w="264" w:type="pct"/>
            <w:noWrap/>
            <w:vAlign w:val="center"/>
          </w:tcPr>
          <w:p>
            <w:pPr>
              <w:widowControl/>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创新创业训练与实践</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r>
              <w:rPr>
                <w:rFonts w:hint="eastAsia"/>
                <w:szCs w:val="21"/>
              </w:rPr>
              <w:t>M</w:t>
            </w:r>
          </w:p>
        </w:tc>
        <w:tc>
          <w:tcPr>
            <w:tcW w:w="264" w:type="pct"/>
            <w:noWrap/>
            <w:vAlign w:val="center"/>
          </w:tcPr>
          <w:p>
            <w:pPr>
              <w:widowControl/>
              <w:jc w:val="center"/>
              <w:rPr>
                <w:szCs w:val="21"/>
              </w:rPr>
            </w:pPr>
            <w:r>
              <w:rPr>
                <w:rFonts w:hint="eastAsia"/>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毕业实习</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L</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320" w:type="pct"/>
            <w:noWrap/>
            <w:vAlign w:val="center"/>
          </w:tcPr>
          <w:p>
            <w:pPr>
              <w:widowControl/>
              <w:rPr>
                <w:szCs w:val="21"/>
              </w:rPr>
            </w:pPr>
            <w:r>
              <w:rPr>
                <w:rFonts w:hint="eastAsia"/>
                <w:szCs w:val="21"/>
              </w:rPr>
              <w:t>毕业设计（论文）</w:t>
            </w: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r>
              <w:rPr>
                <w:rFonts w:hint="eastAsia"/>
                <w:szCs w:val="21"/>
              </w:rPr>
              <w:t>H</w:t>
            </w:r>
          </w:p>
        </w:tc>
        <w:tc>
          <w:tcPr>
            <w:tcW w:w="284" w:type="pct"/>
            <w:noWrap/>
            <w:vAlign w:val="center"/>
          </w:tcPr>
          <w:p>
            <w:pPr>
              <w:widowControl/>
              <w:jc w:val="center"/>
              <w:rPr>
                <w:szCs w:val="21"/>
              </w:rPr>
            </w:pPr>
          </w:p>
        </w:tc>
        <w:tc>
          <w:tcPr>
            <w:tcW w:w="284" w:type="pct"/>
            <w:noWrap/>
            <w:vAlign w:val="center"/>
          </w:tcPr>
          <w:p>
            <w:pPr>
              <w:widowControl/>
              <w:jc w:val="center"/>
              <w:rPr>
                <w:szCs w:val="21"/>
              </w:rPr>
            </w:pPr>
            <w:r>
              <w:rPr>
                <w:rFonts w:hint="eastAsia"/>
                <w:szCs w:val="21"/>
              </w:rPr>
              <w:t>M</w:t>
            </w: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84" w:type="pct"/>
            <w:noWrap/>
            <w:vAlign w:val="center"/>
          </w:tcPr>
          <w:p>
            <w:pPr>
              <w:widowControl/>
              <w:jc w:val="center"/>
              <w:rPr>
                <w:szCs w:val="21"/>
              </w:rPr>
            </w:pPr>
          </w:p>
        </w:tc>
        <w:tc>
          <w:tcPr>
            <w:tcW w:w="264" w:type="pct"/>
            <w:noWrap/>
            <w:vAlign w:val="center"/>
          </w:tcPr>
          <w:p>
            <w:pPr>
              <w:widowControl/>
              <w:jc w:val="center"/>
              <w:rPr>
                <w:szCs w:val="21"/>
              </w:rPr>
            </w:pPr>
            <w:r>
              <w:rPr>
                <w:rFonts w:hint="eastAsia"/>
                <w:szCs w:val="21"/>
              </w:rPr>
              <w:t>H</w:t>
            </w:r>
          </w:p>
        </w:tc>
      </w:tr>
    </w:tbl>
    <w:p>
      <w:pPr>
        <w:pStyle w:val="15"/>
        <w:spacing w:line="360" w:lineRule="auto"/>
        <w:ind w:firstLine="361"/>
        <w:jc w:val="left"/>
        <w:rPr>
          <w:rFonts w:hint="eastAsia" w:ascii="黑体" w:hAnsi="黑体" w:eastAsia="黑体" w:cs="黑体"/>
          <w:b/>
          <w:bCs/>
          <w:sz w:val="20"/>
          <w:szCs w:val="20"/>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b/>
          <w:sz w:val="18"/>
        </w:rPr>
        <w:t>。</w:t>
      </w:r>
    </w:p>
    <w:p>
      <w:pPr>
        <w:bidi w:val="0"/>
        <w:rPr>
          <w:rFonts w:hint="eastAsia"/>
          <w:lang w:val="en-US" w:eastAsia="zh-CN"/>
        </w:rPr>
      </w:pPr>
    </w:p>
    <w:p>
      <w:pPr>
        <w:tabs>
          <w:tab w:val="left" w:pos="253"/>
        </w:tabs>
        <w:bidi w:val="0"/>
        <w:jc w:val="left"/>
        <w:rPr>
          <w:rFonts w:hint="eastAsia" w:ascii="黑体" w:hAnsi="黑体" w:eastAsia="黑体" w:cs="黑体"/>
          <w:b/>
          <w:bCs/>
          <w:sz w:val="20"/>
          <w:szCs w:val="20"/>
        </w:rPr>
      </w:pPr>
      <w:r>
        <w:rPr>
          <w:rFonts w:hint="eastAsia"/>
          <w:lang w:val="en-US" w:eastAsia="zh-CN"/>
        </w:rPr>
        <w:tab/>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7A7919"/>
    <w:multiLevelType w:val="multilevel"/>
    <w:tmpl w:val="517A7919"/>
    <w:lvl w:ilvl="0" w:tentative="0">
      <w:start w:val="1"/>
      <w:numFmt w:val="japaneseCounting"/>
      <w:lvlText w:val="%1、"/>
      <w:lvlJc w:val="left"/>
      <w:pPr>
        <w:ind w:left="456" w:hanging="456"/>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45B137F"/>
    <w:multiLevelType w:val="singleLevel"/>
    <w:tmpl w:val="545B137F"/>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Y1YjdmYzVlOGExMzJlM2FiNTkzYjI1NzBhNTA1OGQifQ=="/>
  </w:docVars>
  <w:rsids>
    <w:rsidRoot w:val="00172A27"/>
    <w:rsid w:val="00020FF7"/>
    <w:rsid w:val="00022037"/>
    <w:rsid w:val="00027EC6"/>
    <w:rsid w:val="00030A65"/>
    <w:rsid w:val="00043B8F"/>
    <w:rsid w:val="000510AF"/>
    <w:rsid w:val="000E1470"/>
    <w:rsid w:val="000E2C52"/>
    <w:rsid w:val="000E3107"/>
    <w:rsid w:val="001001C1"/>
    <w:rsid w:val="001168D4"/>
    <w:rsid w:val="001277F3"/>
    <w:rsid w:val="001609BE"/>
    <w:rsid w:val="001926F6"/>
    <w:rsid w:val="001A7B65"/>
    <w:rsid w:val="001F10C7"/>
    <w:rsid w:val="00203C25"/>
    <w:rsid w:val="0022132A"/>
    <w:rsid w:val="0022324A"/>
    <w:rsid w:val="00226CA0"/>
    <w:rsid w:val="00227A36"/>
    <w:rsid w:val="00246787"/>
    <w:rsid w:val="002614FE"/>
    <w:rsid w:val="00262FF2"/>
    <w:rsid w:val="00272BC8"/>
    <w:rsid w:val="002D1758"/>
    <w:rsid w:val="002D6B49"/>
    <w:rsid w:val="002D6CB8"/>
    <w:rsid w:val="002E3ACB"/>
    <w:rsid w:val="003045BF"/>
    <w:rsid w:val="00310135"/>
    <w:rsid w:val="00316FA5"/>
    <w:rsid w:val="003332B4"/>
    <w:rsid w:val="00344F18"/>
    <w:rsid w:val="003668F6"/>
    <w:rsid w:val="00372205"/>
    <w:rsid w:val="003C5750"/>
    <w:rsid w:val="003D43CD"/>
    <w:rsid w:val="003E6A44"/>
    <w:rsid w:val="003F50E3"/>
    <w:rsid w:val="003F7DE1"/>
    <w:rsid w:val="004004F7"/>
    <w:rsid w:val="00430982"/>
    <w:rsid w:val="00433B4F"/>
    <w:rsid w:val="004442D3"/>
    <w:rsid w:val="00452E4D"/>
    <w:rsid w:val="00472010"/>
    <w:rsid w:val="004851F0"/>
    <w:rsid w:val="00490F41"/>
    <w:rsid w:val="004A5B50"/>
    <w:rsid w:val="004C0EB6"/>
    <w:rsid w:val="00511C5C"/>
    <w:rsid w:val="00522DF4"/>
    <w:rsid w:val="00526172"/>
    <w:rsid w:val="0053169C"/>
    <w:rsid w:val="00544AA6"/>
    <w:rsid w:val="00555564"/>
    <w:rsid w:val="00564C2A"/>
    <w:rsid w:val="00587CDC"/>
    <w:rsid w:val="0059775A"/>
    <w:rsid w:val="005C7130"/>
    <w:rsid w:val="005F180A"/>
    <w:rsid w:val="0062075D"/>
    <w:rsid w:val="00625788"/>
    <w:rsid w:val="0062762D"/>
    <w:rsid w:val="00646851"/>
    <w:rsid w:val="00667D05"/>
    <w:rsid w:val="006808B8"/>
    <w:rsid w:val="00681D69"/>
    <w:rsid w:val="0068433C"/>
    <w:rsid w:val="0069421B"/>
    <w:rsid w:val="006B3782"/>
    <w:rsid w:val="006C51A8"/>
    <w:rsid w:val="006F2A79"/>
    <w:rsid w:val="00710473"/>
    <w:rsid w:val="0071499E"/>
    <w:rsid w:val="00716FCF"/>
    <w:rsid w:val="00721EFF"/>
    <w:rsid w:val="007619B4"/>
    <w:rsid w:val="0078049C"/>
    <w:rsid w:val="00782D35"/>
    <w:rsid w:val="0079478C"/>
    <w:rsid w:val="007B5637"/>
    <w:rsid w:val="007E63AD"/>
    <w:rsid w:val="00807682"/>
    <w:rsid w:val="00823954"/>
    <w:rsid w:val="00832E53"/>
    <w:rsid w:val="0084130B"/>
    <w:rsid w:val="00855E95"/>
    <w:rsid w:val="008612DB"/>
    <w:rsid w:val="008D5B97"/>
    <w:rsid w:val="008E6F5A"/>
    <w:rsid w:val="008F3E54"/>
    <w:rsid w:val="008F57E6"/>
    <w:rsid w:val="00924B4E"/>
    <w:rsid w:val="009254B1"/>
    <w:rsid w:val="00957F6A"/>
    <w:rsid w:val="00960754"/>
    <w:rsid w:val="00995839"/>
    <w:rsid w:val="009A07C5"/>
    <w:rsid w:val="009A2614"/>
    <w:rsid w:val="009C4FE6"/>
    <w:rsid w:val="009C7440"/>
    <w:rsid w:val="009D7287"/>
    <w:rsid w:val="009E363C"/>
    <w:rsid w:val="00A26B1F"/>
    <w:rsid w:val="00A30D78"/>
    <w:rsid w:val="00A4057E"/>
    <w:rsid w:val="00A46BD6"/>
    <w:rsid w:val="00A811F0"/>
    <w:rsid w:val="00AA4C0A"/>
    <w:rsid w:val="00AB5E54"/>
    <w:rsid w:val="00AC4703"/>
    <w:rsid w:val="00AE1B98"/>
    <w:rsid w:val="00B00ABD"/>
    <w:rsid w:val="00B168AD"/>
    <w:rsid w:val="00B42154"/>
    <w:rsid w:val="00B806C2"/>
    <w:rsid w:val="00B80CE3"/>
    <w:rsid w:val="00BA61D2"/>
    <w:rsid w:val="00BC48D4"/>
    <w:rsid w:val="00BE59BD"/>
    <w:rsid w:val="00BF550C"/>
    <w:rsid w:val="00C24110"/>
    <w:rsid w:val="00C36113"/>
    <w:rsid w:val="00C90FB7"/>
    <w:rsid w:val="00C96BED"/>
    <w:rsid w:val="00CB4850"/>
    <w:rsid w:val="00CB55FE"/>
    <w:rsid w:val="00CB729F"/>
    <w:rsid w:val="00CF736E"/>
    <w:rsid w:val="00D22FE4"/>
    <w:rsid w:val="00D24C7D"/>
    <w:rsid w:val="00D34826"/>
    <w:rsid w:val="00D53E0D"/>
    <w:rsid w:val="00D80264"/>
    <w:rsid w:val="00D94DD6"/>
    <w:rsid w:val="00DA0D04"/>
    <w:rsid w:val="00DA131F"/>
    <w:rsid w:val="00DC5E9C"/>
    <w:rsid w:val="00DE3204"/>
    <w:rsid w:val="00DE566D"/>
    <w:rsid w:val="00DE5968"/>
    <w:rsid w:val="00DF42C4"/>
    <w:rsid w:val="00E25429"/>
    <w:rsid w:val="00E325F7"/>
    <w:rsid w:val="00E33E7D"/>
    <w:rsid w:val="00E6006C"/>
    <w:rsid w:val="00EA21FF"/>
    <w:rsid w:val="00EA5777"/>
    <w:rsid w:val="00EB1812"/>
    <w:rsid w:val="00EB20E6"/>
    <w:rsid w:val="00EC3D4E"/>
    <w:rsid w:val="00ED329F"/>
    <w:rsid w:val="00EF0B92"/>
    <w:rsid w:val="00EF6761"/>
    <w:rsid w:val="00EF7318"/>
    <w:rsid w:val="00F10DFE"/>
    <w:rsid w:val="00F22C64"/>
    <w:rsid w:val="00F33E68"/>
    <w:rsid w:val="00F37F64"/>
    <w:rsid w:val="00F634AA"/>
    <w:rsid w:val="00F74F17"/>
    <w:rsid w:val="00F83DE4"/>
    <w:rsid w:val="00F86BAA"/>
    <w:rsid w:val="00F877E1"/>
    <w:rsid w:val="00F9259C"/>
    <w:rsid w:val="00FB3118"/>
    <w:rsid w:val="00FC37B9"/>
    <w:rsid w:val="00FF0FEF"/>
    <w:rsid w:val="04262272"/>
    <w:rsid w:val="068D0CB0"/>
    <w:rsid w:val="07E15CA3"/>
    <w:rsid w:val="089F1676"/>
    <w:rsid w:val="0A673A67"/>
    <w:rsid w:val="0A9E3869"/>
    <w:rsid w:val="0BDD1D04"/>
    <w:rsid w:val="0C52145D"/>
    <w:rsid w:val="0DCD64EC"/>
    <w:rsid w:val="0DF14675"/>
    <w:rsid w:val="0F1F79F8"/>
    <w:rsid w:val="0F7977F4"/>
    <w:rsid w:val="0FA55ADC"/>
    <w:rsid w:val="102437A4"/>
    <w:rsid w:val="175B459E"/>
    <w:rsid w:val="1899054D"/>
    <w:rsid w:val="1AC6529E"/>
    <w:rsid w:val="1AEF2A50"/>
    <w:rsid w:val="1C06071B"/>
    <w:rsid w:val="1C067E96"/>
    <w:rsid w:val="1EAA1912"/>
    <w:rsid w:val="1F3359DA"/>
    <w:rsid w:val="1F6A3175"/>
    <w:rsid w:val="200C59D1"/>
    <w:rsid w:val="215D3FE8"/>
    <w:rsid w:val="217746D2"/>
    <w:rsid w:val="2328037A"/>
    <w:rsid w:val="23392465"/>
    <w:rsid w:val="23C62036"/>
    <w:rsid w:val="255C5D59"/>
    <w:rsid w:val="26DB434F"/>
    <w:rsid w:val="2AC42D2F"/>
    <w:rsid w:val="2C1009A5"/>
    <w:rsid w:val="2CAB113B"/>
    <w:rsid w:val="2CC11E82"/>
    <w:rsid w:val="2F2E4D39"/>
    <w:rsid w:val="31EE13DB"/>
    <w:rsid w:val="35DB1A18"/>
    <w:rsid w:val="367B2FEB"/>
    <w:rsid w:val="370311F1"/>
    <w:rsid w:val="37E05282"/>
    <w:rsid w:val="38000C46"/>
    <w:rsid w:val="399F15C0"/>
    <w:rsid w:val="3BD32FD8"/>
    <w:rsid w:val="3DAE53BC"/>
    <w:rsid w:val="471A15CB"/>
    <w:rsid w:val="4DD962D7"/>
    <w:rsid w:val="52F56BCB"/>
    <w:rsid w:val="54EB5678"/>
    <w:rsid w:val="556A4435"/>
    <w:rsid w:val="55F70566"/>
    <w:rsid w:val="566E3113"/>
    <w:rsid w:val="56B626DA"/>
    <w:rsid w:val="577227CC"/>
    <w:rsid w:val="58E249E8"/>
    <w:rsid w:val="5B646D05"/>
    <w:rsid w:val="5D462F7C"/>
    <w:rsid w:val="64A55079"/>
    <w:rsid w:val="657E1038"/>
    <w:rsid w:val="67DD7861"/>
    <w:rsid w:val="6964639B"/>
    <w:rsid w:val="6998747F"/>
    <w:rsid w:val="6C7022E5"/>
    <w:rsid w:val="742265E8"/>
    <w:rsid w:val="765C57B4"/>
    <w:rsid w:val="779455FA"/>
    <w:rsid w:val="78557CE4"/>
    <w:rsid w:val="79504716"/>
    <w:rsid w:val="79B0209F"/>
    <w:rsid w:val="7ABA0B18"/>
    <w:rsid w:val="7B341DD4"/>
    <w:rsid w:val="7B742571"/>
    <w:rsid w:val="7C3F42E4"/>
    <w:rsid w:val="7E72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link w:val="10"/>
    <w:qFormat/>
    <w:uiPriority w:val="0"/>
    <w:pPr>
      <w:spacing w:line="360" w:lineRule="auto"/>
    </w:pPr>
    <w:rPr>
      <w:color w:val="000000"/>
      <w:szCs w:val="20"/>
    </w:rPr>
  </w:style>
  <w:style w:type="paragraph" w:styleId="3">
    <w:name w:val="Body Text Indent 2"/>
    <w:basedOn w:val="1"/>
    <w:link w:val="1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正文文本 Char"/>
    <w:link w:val="2"/>
    <w:qFormat/>
    <w:uiPriority w:val="0"/>
    <w:rPr>
      <w:color w:val="000000"/>
      <w:kern w:val="2"/>
      <w:sz w:val="21"/>
    </w:rPr>
  </w:style>
  <w:style w:type="character" w:customStyle="1" w:styleId="11">
    <w:name w:val="正文文本缩进 2 Char"/>
    <w:link w:val="3"/>
    <w:qFormat/>
    <w:uiPriority w:val="0"/>
    <w:rPr>
      <w:kern w:val="2"/>
      <w:sz w:val="21"/>
      <w:szCs w:val="24"/>
    </w:rPr>
  </w:style>
  <w:style w:type="character" w:customStyle="1" w:styleId="12">
    <w:name w:val="15"/>
    <w:qFormat/>
    <w:uiPriority w:val="0"/>
    <w:rPr>
      <w:rFonts w:hint="default" w:ascii="Times New Roman" w:hAnsi="Times New Roman" w:cs="Times New Roman"/>
      <w:sz w:val="20"/>
      <w:szCs w:val="20"/>
    </w:rPr>
  </w:style>
  <w:style w:type="paragraph" w:customStyle="1" w:styleId="13">
    <w:name w:val="p0"/>
    <w:basedOn w:val="1"/>
    <w:qFormat/>
    <w:uiPriority w:val="0"/>
    <w:pPr>
      <w:widowControl/>
    </w:pPr>
    <w:rPr>
      <w:rFonts w:ascii="Calibri" w:hAnsi="Calibri" w:cs="宋体"/>
      <w:kern w:val="0"/>
      <w:szCs w:val="21"/>
    </w:rPr>
  </w:style>
  <w:style w:type="paragraph" w:customStyle="1" w:styleId="14">
    <w:name w:val=" Char Char1 Char Char"/>
    <w:basedOn w:val="1"/>
    <w:qFormat/>
    <w:uiPriority w:val="0"/>
  </w:style>
  <w:style w:type="paragraph" w:styleId="15">
    <w:name w:val="List Paragraph"/>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37"/>
    <customShpInfo spid="_x0000_s1040"/>
    <customShpInfo spid="_x0000_s1039"/>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SkyUN.Org</Company>
  <Pages>7</Pages>
  <Words>3914</Words>
  <Characters>4038</Characters>
  <Lines>14</Lines>
  <Paragraphs>11</Paragraphs>
  <TotalTime>0</TotalTime>
  <ScaleCrop>false</ScaleCrop>
  <LinksUpToDate>false</LinksUpToDate>
  <CharactersWithSpaces>4201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2022-07-07T10:54:00Z</dcterms:created>
  <dc:creator>zheng</dc:creator>
  <cp:lastModifiedBy>绿日</cp:lastModifiedBy>
  <cp:lastPrinted>2022-07-07T11:11:00Z</cp:lastPrinted>
  <dcterms:modified xsi:type="dcterms:W3CDTF">2022-11-14T06:29:47Z</dcterms:modified>
  <dc:title>附件7  环境工程专业专任教师例证</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2052-11.1.0.12763</vt:lpwstr>
  </property>
  <property fmtid="{D5CDD505-2E9C-101B-9397-08002B2CF9AE}" pid="4" name="ICV">
    <vt:lpwstr>AE5E2B96456340E79D8E1ACEB51ACA90</vt:lpwstr>
  </property>
  <property fmtid="{D5CDD505-2E9C-101B-9397-08002B2CF9AE}" pid="5" name="commondata">
    <vt:lpwstr>eyJoZGlkIjoiOTFiZDkzODYxNmY1OTY3MTI3MGE2NjViYzM4ZDQ5YTAifQ==</vt:lpwstr>
  </property>
</Properties>
</file>