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网络工程专业（本科）培养方案</w:t>
      </w:r>
    </w:p>
    <w:p>
      <w:pPr>
        <w:spacing w:line="360" w:lineRule="auto"/>
        <w:jc w:val="center"/>
        <w:rPr>
          <w:rFonts w:hint="eastAsia" w:eastAsia="宋体"/>
          <w:lang w:val="en-US" w:eastAsia="zh-CN"/>
        </w:rPr>
      </w:pPr>
      <w:r>
        <w:t>制定日期：</w:t>
      </w:r>
      <w:r>
        <w:rPr>
          <w:rFonts w:hint="eastAsia"/>
        </w:rPr>
        <w:t>2022年</w:t>
      </w:r>
      <w:r>
        <w:t>7</w:t>
      </w:r>
      <w:r>
        <w:rPr>
          <w:rFonts w:hint="eastAsia"/>
        </w:rPr>
        <w:t>月</w:t>
      </w:r>
      <w:r>
        <w:t xml:space="preserve"> </w:t>
      </w:r>
      <w:r>
        <w:rPr>
          <w:rFonts w:hint="eastAsia"/>
        </w:rPr>
        <w:t xml:space="preserve"> </w:t>
      </w:r>
      <w:r>
        <w:rPr>
          <w:rFonts w:hint="eastAsia"/>
          <w:lang w:val="en-US" w:eastAsia="zh-CN"/>
        </w:rPr>
        <w:t xml:space="preserve">  </w:t>
      </w:r>
      <w:r>
        <w:t>制定：</w:t>
      </w:r>
      <w:r>
        <w:rPr>
          <w:rFonts w:hint="eastAsia"/>
        </w:rPr>
        <w:t xml:space="preserve">周林 </w:t>
      </w:r>
      <w:r>
        <w:t xml:space="preserve"> </w:t>
      </w:r>
      <w:r>
        <w:rPr>
          <w:rFonts w:hint="eastAsia"/>
          <w:lang w:val="en-US" w:eastAsia="zh-CN"/>
        </w:rPr>
        <w:t xml:space="preserve">  </w:t>
      </w:r>
      <w:r>
        <w:t>审核：</w:t>
      </w:r>
      <w:r>
        <w:rPr>
          <w:rFonts w:hint="eastAsia"/>
          <w:lang w:val="en-US" w:eastAsia="zh-CN"/>
        </w:rPr>
        <w:t xml:space="preserve">张传林    </w:t>
      </w:r>
      <w:r>
        <w:t>批准：</w:t>
      </w:r>
      <w:r>
        <w:rPr>
          <w:rFonts w:hint="eastAsia"/>
          <w:color w:val="auto"/>
          <w:lang w:val="en-US" w:eastAsia="zh-CN"/>
        </w:rPr>
        <w:t>黄冬梅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pPr>
    </w:p>
    <w:p>
      <w:pPr>
        <w:numPr>
          <w:ilvl w:val="0"/>
          <w:numId w:val="1"/>
        </w:numPr>
        <w:rPr>
          <w:rFonts w:eastAsia="黑体"/>
          <w:b/>
          <w:bCs/>
        </w:rPr>
      </w:pPr>
      <w:r>
        <w:rPr>
          <w:rFonts w:eastAsia="黑体"/>
          <w:b/>
          <w:bCs/>
        </w:rPr>
        <w:t>专业说明</w:t>
      </w:r>
    </w:p>
    <w:p>
      <w:pPr>
        <w:ind w:firstLine="420" w:firstLineChars="200"/>
        <w:rPr>
          <w:szCs w:val="21"/>
        </w:rPr>
      </w:pPr>
      <w:r>
        <w:rPr>
          <w:szCs w:val="21"/>
        </w:rPr>
        <w:t>专业代码：080903</w:t>
      </w:r>
    </w:p>
    <w:p>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191770</wp:posOffset>
                </wp:positionV>
                <wp:extent cx="1028700" cy="363220"/>
                <wp:effectExtent l="9525" t="5715" r="9525" b="12065"/>
                <wp:wrapNone/>
                <wp:docPr id="3"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028700" cy="363220"/>
                        </a:xfrm>
                        <a:prstGeom prst="rect">
                          <a:avLst/>
                        </a:prstGeom>
                        <a:solidFill>
                          <a:srgbClr val="FFFFFF"/>
                        </a:solidFill>
                        <a:ln w="9525" cmpd="sng">
                          <a:solidFill>
                            <a:srgbClr val="000000"/>
                          </a:solidFill>
                          <a:miter lim="800000"/>
                        </a:ln>
                      </wps:spPr>
                      <wps:txbx>
                        <w:txbxContent>
                          <w:p>
                            <w:pPr>
                              <w:spacing w:line="400" w:lineRule="exact"/>
                              <w:jc w:val="center"/>
                              <w:rPr>
                                <w:rFonts w:ascii="宋体" w:hAnsi="宋体"/>
                              </w:rPr>
                            </w:pPr>
                            <w:r>
                              <w:rPr>
                                <w:rFonts w:hint="eastAsia" w:ascii="宋体" w:hAnsi="宋体"/>
                              </w:rPr>
                              <w:t>计算机类</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144pt;margin-top:15.1pt;height:28.6pt;width:81pt;z-index:251660288;mso-width-relative:page;mso-height-relative:page;" fillcolor="#FFFFFF" filled="t" stroked="t" coordsize="21600,21600" o:gfxdata="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AVX3fjYAAAACQEAAA8AAAAAAAAAAQAg&#10;AAAAIgAAAGRycy9kb3ducmV2LnhtbFBLAQIUABQAAAAIAIdO4kDfVOXaRwIAAJIEAAAOAAAAAAAA&#10;AAEAIAAAACcBAABkcnMvZTJvRG9jLnhtbFBLBQYAAAAABgAGAFkBAADgBQAAAAA=&#10;">
                <v:fill on="t" focussize="0,0"/>
                <v:stroke color="#000000" miterlimit="8" joinstyle="miter"/>
                <v:imagedata o:title=""/>
                <o:lock v:ext="edit" aspectratio="f"/>
                <v:textbox>
                  <w:txbxContent>
                    <w:p>
                      <w:pPr>
                        <w:spacing w:line="400" w:lineRule="exact"/>
                        <w:jc w:val="center"/>
                        <w:rPr>
                          <w:rFonts w:ascii="宋体" w:hAnsi="宋体"/>
                        </w:rPr>
                      </w:pPr>
                      <w:r>
                        <w:rPr>
                          <w:rFonts w:hint="eastAsia" w:ascii="宋体" w:hAnsi="宋体"/>
                        </w:rPr>
                        <w:t>计算机类</w:t>
                      </w:r>
                    </w:p>
                  </w:txbxContent>
                </v:textbox>
              </v:shape>
            </w:pict>
          </mc:Fallback>
        </mc:AlternateContent>
      </w:r>
    </w:p>
    <w:p>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3321050</wp:posOffset>
                </wp:positionH>
                <wp:positionV relativeFrom="paragraph">
                  <wp:posOffset>6350</wp:posOffset>
                </wp:positionV>
                <wp:extent cx="1028700" cy="363220"/>
                <wp:effectExtent l="4445" t="4445" r="8255" b="13335"/>
                <wp:wrapNone/>
                <wp:docPr id="5"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028700" cy="363220"/>
                        </a:xfrm>
                        <a:prstGeom prst="rect">
                          <a:avLst/>
                        </a:prstGeom>
                        <a:solidFill>
                          <a:srgbClr val="FFFFFF"/>
                        </a:solidFill>
                        <a:ln w="9525" cmpd="sng">
                          <a:solidFill>
                            <a:srgbClr val="000000"/>
                          </a:solidFill>
                          <a:miter lim="800000"/>
                        </a:ln>
                      </wps:spPr>
                      <wps:txbx>
                        <w:txbxContent>
                          <w:p>
                            <w:pPr>
                              <w:spacing w:line="400" w:lineRule="exact"/>
                              <w:jc w:val="center"/>
                              <w:rPr>
                                <w:rFonts w:hint="eastAsia" w:ascii="宋体" w:hAnsi="宋体" w:eastAsia="宋体"/>
                                <w:lang w:val="en-US" w:eastAsia="zh-CN"/>
                              </w:rPr>
                            </w:pPr>
                            <w:r>
                              <w:rPr>
                                <w:rFonts w:hint="eastAsia" w:ascii="宋体" w:hAnsi="宋体"/>
                                <w:lang w:val="en-US" w:eastAsia="zh-CN"/>
                              </w:rPr>
                              <w:t>网络工程</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261.5pt;margin-top:0.5pt;height:28.6pt;width:81pt;z-index:251662336;mso-width-relative:page;mso-height-relative:page;" fillcolor="#FFFFFF" filled="t" stroked="t" coordsize="21600,21600" o:gfxdata="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Os6nxnWAAAACAEAAA8AAAAAAAAAAQAgAAAA&#10;IgAAAGRycy9kb3ducmV2LnhtbFBLAQIUABQAAAAIAIdO4kBAvGdERgIAAJIEAAAOAAAAAAAAAAEA&#10;IAAAACUBAABkcnMvZTJvRG9jLnhtbFBLBQYAAAAABgAGAFkBAADdBQAAAAA=&#10;">
                <v:fill on="t" focussize="0,0"/>
                <v:stroke color="#000000" miterlimit="8" joinstyle="miter"/>
                <v:imagedata o:title=""/>
                <o:lock v:ext="edit" aspectratio="f"/>
                <v:textbox>
                  <w:txbxContent>
                    <w:p>
                      <w:pPr>
                        <w:spacing w:line="400" w:lineRule="exact"/>
                        <w:jc w:val="center"/>
                        <w:rPr>
                          <w:rFonts w:hint="eastAsia" w:ascii="宋体" w:hAnsi="宋体" w:eastAsia="宋体"/>
                          <w:lang w:val="en-US" w:eastAsia="zh-CN"/>
                        </w:rPr>
                      </w:pPr>
                      <w:r>
                        <w:rPr>
                          <w:rFonts w:hint="eastAsia" w:ascii="宋体" w:hAnsi="宋体"/>
                          <w:lang w:val="en-US" w:eastAsia="zh-CN"/>
                        </w:rPr>
                        <w:t>网络工程</w:t>
                      </w:r>
                    </w:p>
                  </w:txbxContent>
                </v:textbox>
              </v:shape>
            </w:pict>
          </mc:Fallback>
        </mc:AlternateContent>
      </w:r>
      <w:r>
        <w:rPr>
          <w:rFonts w:hint="eastAsia" w:ascii="宋体" w:hAnsi="宋体" w:cs="宋体"/>
          <w:szCs w:val="21"/>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0</wp:posOffset>
                </wp:positionV>
                <wp:extent cx="1143000" cy="363220"/>
                <wp:effectExtent l="9525" t="5715" r="9525" b="12065"/>
                <wp:wrapNone/>
                <wp:docPr id="4" name="文本框 7"/>
                <wp:cNvGraphicFramePr/>
                <a:graphic xmlns:a="http://schemas.openxmlformats.org/drawingml/2006/main">
                  <a:graphicData uri="http://schemas.microsoft.com/office/word/2010/wordprocessingShape">
                    <wps:wsp>
                      <wps:cNvSpPr txBox="1">
                        <a:spLocks noChangeArrowheads="1"/>
                      </wps:cNvSpPr>
                      <wps:spPr bwMode="auto">
                        <a:xfrm>
                          <a:off x="0" y="0"/>
                          <a:ext cx="1143000" cy="363220"/>
                        </a:xfrm>
                        <a:prstGeom prst="rect">
                          <a:avLst/>
                        </a:prstGeom>
                        <a:solidFill>
                          <a:srgbClr val="FFFFFF"/>
                        </a:solidFill>
                        <a:ln w="9525" cmpd="sng">
                          <a:solidFill>
                            <a:srgbClr val="000000"/>
                          </a:solidFill>
                          <a:miter lim="800000"/>
                        </a:ln>
                      </wps:spPr>
                      <wps:txbx>
                        <w:txbxContent>
                          <w:p>
                            <w:pPr>
                              <w:spacing w:line="400" w:lineRule="exact"/>
                              <w:jc w:val="center"/>
                              <w:rPr>
                                <w:rFonts w:ascii="宋体" w:hAnsi="宋体"/>
                              </w:rPr>
                            </w:pPr>
                            <w:r>
                              <w:rPr>
                                <w:rFonts w:hint="eastAsia"/>
                              </w:rPr>
                              <w:t>工</w:t>
                            </w:r>
                            <w:r>
                              <w:rPr>
                                <w:rFonts w:hint="eastAsia"/>
                                <w:lang w:val="en-US" w:eastAsia="zh-CN"/>
                              </w:rPr>
                              <w:t xml:space="preserve"> </w:t>
                            </w:r>
                            <w:r>
                              <w:rPr>
                                <w:rFonts w:hint="eastAsia"/>
                              </w:rPr>
                              <w:t>学</w:t>
                            </w:r>
                          </w:p>
                        </w:txbxContent>
                      </wps:txbx>
                      <wps:bodyPr rot="0" vert="horz" wrap="square" lIns="91440" tIns="45720" rIns="91440" bIns="45720" anchor="t" anchorCtr="0" upright="1">
                        <a:noAutofit/>
                      </wps:bodyPr>
                    </wps:wsp>
                  </a:graphicData>
                </a:graphic>
              </wp:anchor>
            </w:drawing>
          </mc:Choice>
          <mc:Fallback>
            <w:pict>
              <v:shape id="文本框 7" o:spid="_x0000_s1026" o:spt="202" type="#_x0000_t202" style="position:absolute;left:0pt;margin-left:27pt;margin-top:0pt;height:28.6pt;width:90pt;z-index:251659264;mso-width-relative:page;mso-height-relative:page;" fillcolor="#FFFFFF" filled="t" stroked="t" coordsize="21600,21600" o:gfxdata="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QLXUW1gAAAAYBAAAPAAAAAAAAAAEA&#10;IAAAACIAAABkcnMvZG93bnJldi54bWxQSwECFAAUAAAACACHTuJAykmC+EoCAACSBAAADgAAAAAA&#10;AAABACAAAAAlAQAAZHJzL2Uyb0RvYy54bWxQSwUGAAAAAAYABgBZAQAA4QUAAAAA&#10;">
                <v:fill on="t" focussize="0,0"/>
                <v:stroke color="#000000" miterlimit="8" joinstyle="miter"/>
                <v:imagedata o:title=""/>
                <o:lock v:ext="edit" aspectratio="f"/>
                <v:textbox>
                  <w:txbxContent>
                    <w:p>
                      <w:pPr>
                        <w:spacing w:line="400" w:lineRule="exact"/>
                        <w:jc w:val="center"/>
                        <w:rPr>
                          <w:rFonts w:ascii="宋体" w:hAnsi="宋体"/>
                        </w:rPr>
                      </w:pPr>
                      <w:r>
                        <w:rPr>
                          <w:rFonts w:hint="eastAsia"/>
                        </w:rPr>
                        <w:t>工</w:t>
                      </w:r>
                      <w:r>
                        <w:rPr>
                          <w:rFonts w:hint="eastAsia"/>
                          <w:lang w:val="en-US" w:eastAsia="zh-CN"/>
                        </w:rPr>
                        <w:t xml:space="preserve"> </w:t>
                      </w:r>
                      <w:r>
                        <w:rPr>
                          <w:rFonts w:hint="eastAsia"/>
                        </w:rPr>
                        <w:t>学</w:t>
                      </w:r>
                    </w:p>
                  </w:txbxContent>
                </v:textbox>
              </v:shape>
            </w:pict>
          </mc:Fallback>
        </mc:AlternateContent>
      </w:r>
      <w:r>
        <w:rPr>
          <w:rFonts w:hint="eastAsia" w:ascii="宋体" w:hAnsi="宋体" w:cs="宋体"/>
          <w:szCs w:val="21"/>
        </w:rPr>
        <w:t xml:space="preserve">                                                               </w:t>
      </w:r>
    </w:p>
    <w:p>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0</wp:posOffset>
                </wp:positionV>
                <wp:extent cx="342900" cy="0"/>
                <wp:effectExtent l="9525" t="13335" r="9525" b="5715"/>
                <wp:wrapNone/>
                <wp:docPr id="2" name="直线 10"/>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cmpd="sng">
                          <a:solidFill>
                            <a:srgbClr val="000000"/>
                          </a:solidFill>
                          <a:round/>
                        </a:ln>
                      </wps:spPr>
                      <wps:bodyPr/>
                    </wps:wsp>
                  </a:graphicData>
                </a:graphic>
              </wp:anchor>
            </w:drawing>
          </mc:Choice>
          <mc:Fallback>
            <w:pict>
              <v:line id="直线 10" o:spid="_x0000_s1026" o:spt="20" style="position:absolute;left:0pt;margin-left:117pt;margin-top:0pt;height:0pt;width:27pt;z-index:251661312;mso-width-relative:page;mso-height-relative:page;" filled="f" stroked="t" coordsize="21600,21600" o:gfxdata="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jNW7K0wAAAAUBAAAPAAAAAAAA&#10;AAEAIAAAACIAAABkcnMvZG93bnJldi54bWxQSwECFAAUAAAACACHTuJA7IEK9N4BAACsAwAADgAA&#10;AAAAAAABACAAAAAiAQAAZHJzL2Uyb0RvYy54bWxQSwUGAAAAAAYABgBZAQAAcgUAAAAA&#10;">
                <v:fill on="f" focussize="0,0"/>
                <v:stroke color="#000000" joinstyle="round"/>
                <v:imagedata o:title=""/>
                <o:lock v:ext="edit" aspectratio="f"/>
              </v:line>
            </w:pict>
          </mc:Fallback>
        </mc:AlternateContent>
      </w: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0</wp:posOffset>
                </wp:positionV>
                <wp:extent cx="457200" cy="0"/>
                <wp:effectExtent l="9525" t="13335" r="9525" b="571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cmpd="sng">
                          <a:solidFill>
                            <a:srgbClr val="000000"/>
                          </a:solidFill>
                          <a:round/>
                        </a:ln>
                      </wps:spPr>
                      <wps:bodyPr/>
                    </wps:wsp>
                  </a:graphicData>
                </a:graphic>
              </wp:anchor>
            </w:drawing>
          </mc:Choice>
          <mc:Fallback>
            <w:pict>
              <v:line id="直线 11" o:spid="_x0000_s1026" o:spt="20" style="position:absolute;left:0pt;margin-left:225pt;margin-top:0pt;height:0pt;width:36pt;z-index:251662336;mso-width-relative:page;mso-height-relative:page;" filled="f" stroked="t" coordsize="21600,21600" o:gfxdata="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ChMvtQAAAAFAQAADwAAAAAAAAAB&#10;ACAAAAAiAAAAZHJzL2Rvd25yZXYueG1sUEsBAhQAFAAAAAgAh07iQC1aaKnbAQAArAMAAA4AAAAA&#10;AAAAAQAgAAAAIwEAAGRycy9lMm9Eb2MueG1sUEsFBgAAAAAGAAYAWQEAAHAFAAAAAA==&#10;">
                <v:fill on="f" focussize="0,0"/>
                <v:stroke color="#000000" joinstyle="round"/>
                <v:imagedata o:title=""/>
                <o:lock v:ext="edit" aspectratio="f"/>
              </v:line>
            </w:pict>
          </mc:Fallback>
        </mc:AlternateContent>
      </w:r>
    </w:p>
    <w:p>
      <w:pPr>
        <w:snapToGrid w:val="0"/>
        <w:rPr>
          <w:rFonts w:ascii="宋体" w:hAnsi="宋体" w:cs="宋体"/>
          <w:bCs/>
          <w:color w:val="000000"/>
          <w:szCs w:val="21"/>
        </w:rPr>
      </w:pPr>
    </w:p>
    <w:p>
      <w:pPr>
        <w:snapToGrid w:val="0"/>
        <w:rPr>
          <w:rFonts w:ascii="宋体" w:hAnsi="宋体" w:cs="宋体"/>
          <w:bCs/>
          <w:color w:val="000000"/>
          <w:szCs w:val="21"/>
        </w:rPr>
      </w:pPr>
    </w:p>
    <w:p>
      <w:pPr>
        <w:numPr>
          <w:ilvl w:val="0"/>
          <w:numId w:val="1"/>
        </w:numPr>
        <w:rPr>
          <w:rFonts w:eastAsia="黑体"/>
          <w:b/>
          <w:bCs/>
        </w:rPr>
      </w:pPr>
      <w:r>
        <w:rPr>
          <w:rFonts w:hint="eastAsia" w:eastAsia="黑体"/>
          <w:b/>
          <w:bCs/>
        </w:rPr>
        <w:t xml:space="preserve">培养目标  </w:t>
      </w:r>
    </w:p>
    <w:p>
      <w:pPr>
        <w:snapToGrid w:val="0"/>
        <w:ind w:firstLine="420" w:firstLineChars="200"/>
        <w:rPr>
          <w:rFonts w:ascii="宋体" w:hAnsi="宋体" w:cs="宋体"/>
          <w:szCs w:val="21"/>
        </w:rPr>
      </w:pPr>
      <w:r>
        <w:rPr>
          <w:rFonts w:hint="eastAsia" w:ascii="宋体" w:hAnsi="宋体" w:cs="宋体"/>
          <w:szCs w:val="21"/>
        </w:rPr>
        <w:t>网络工程专业聚焦电力信息化建设，以服务国家关键信息基础设施建设为宗旨，围绕能源互联网发展的需要，将理论知识与先进技术应用相结合，构建产学研用有机融合的教学环境，强调培养学生的知识应用能力和科技创新能力；培养具备计算机网络及应用系统的规划、设计、部署、开发和安全保障能力，具有国际视野、工程实践能力强的应用型、创新型、国际化的技术人才，具备专业知识、工程能力和创新意识。</w:t>
      </w:r>
    </w:p>
    <w:p>
      <w:pPr>
        <w:pStyle w:val="16"/>
        <w:numPr>
          <w:ilvl w:val="0"/>
          <w:numId w:val="2"/>
        </w:numPr>
        <w:snapToGrid w:val="0"/>
        <w:ind w:firstLineChars="0"/>
        <w:rPr>
          <w:rFonts w:cs="Times New Roman"/>
        </w:rPr>
      </w:pPr>
      <w:r>
        <w:rPr>
          <w:rFonts w:cs="Times New Roman"/>
        </w:rPr>
        <w:t>有良好的人文和职业素养，能为推动社会进步贡献正能量；</w:t>
      </w:r>
    </w:p>
    <w:p>
      <w:pPr>
        <w:pStyle w:val="16"/>
        <w:numPr>
          <w:ilvl w:val="0"/>
          <w:numId w:val="2"/>
        </w:numPr>
        <w:snapToGrid w:val="0"/>
        <w:ind w:firstLineChars="0"/>
        <w:rPr>
          <w:rFonts w:cs="Times New Roman"/>
        </w:rPr>
      </w:pPr>
      <w:r>
        <w:rPr>
          <w:rFonts w:cs="Times New Roman"/>
        </w:rPr>
        <w:t>具备计算机网络及系统的规划、设计、开发和安全保障能力，能够从事网络工程领域的科学研究、技术开发、管理维护等工作；</w:t>
      </w:r>
    </w:p>
    <w:p>
      <w:pPr>
        <w:pStyle w:val="16"/>
        <w:numPr>
          <w:ilvl w:val="0"/>
          <w:numId w:val="2"/>
        </w:numPr>
        <w:snapToGrid w:val="0"/>
        <w:ind w:firstLineChars="0"/>
        <w:rPr>
          <w:rFonts w:cs="Times New Roman"/>
        </w:rPr>
      </w:pPr>
      <w:r>
        <w:rPr>
          <w:rFonts w:cs="Times New Roman"/>
        </w:rPr>
        <w:t>具备团队精神，能够在项目、产品和科研团队中担任协调、组织或管理角色；</w:t>
      </w:r>
    </w:p>
    <w:p>
      <w:pPr>
        <w:pStyle w:val="16"/>
        <w:numPr>
          <w:ilvl w:val="0"/>
          <w:numId w:val="2"/>
        </w:numPr>
        <w:snapToGrid w:val="0"/>
        <w:ind w:firstLineChars="0"/>
        <w:rPr>
          <w:rFonts w:eastAsia="仿宋" w:cs="Times New Roman"/>
        </w:rPr>
      </w:pPr>
      <w:r>
        <w:rPr>
          <w:rFonts w:cs="Times New Roman"/>
        </w:rPr>
        <w:t>能够不断学习、更新知识，根据职业发展需求实现综合能力和业务水平的提升。</w:t>
      </w:r>
    </w:p>
    <w:p>
      <w:pPr>
        <w:rPr>
          <w:szCs w:val="20"/>
        </w:rPr>
      </w:pPr>
    </w:p>
    <w:p>
      <w:pPr>
        <w:rPr>
          <w:rFonts w:ascii="仿宋_GB2312" w:hAnsi="仿宋_GB2312" w:eastAsia="仿宋_GB2312" w:cs="仿宋_GB2312"/>
          <w:color w:val="FF0000"/>
          <w:sz w:val="24"/>
        </w:rPr>
      </w:pPr>
      <w:r>
        <w:rPr>
          <w:rFonts w:hint="eastAsia" w:ascii="黑体" w:hAnsi="黑体" w:eastAsia="黑体" w:cs="黑体"/>
          <w:b/>
          <w:color w:val="000000"/>
          <w:szCs w:val="21"/>
        </w:rPr>
        <w:t>三、毕业要求</w:t>
      </w:r>
    </w:p>
    <w:p>
      <w:pPr>
        <w:ind w:firstLine="420" w:firstLineChars="200"/>
        <w:rPr>
          <w:bCs/>
          <w:szCs w:val="21"/>
        </w:rPr>
      </w:pPr>
      <w:r>
        <w:rPr>
          <w:rFonts w:hint="eastAsia"/>
          <w:bCs/>
          <w:szCs w:val="21"/>
        </w:rPr>
        <w:t>本专业属于应用型的信息技术专业，主要学习电子、计算机软件、硬件系统、网络通信技术等基础理论与技能；对学生进行工程师的基本能力训练，培养计算机网络系统设计、分析和管理的基本能力，培养具备良好素质与能力的工程应用人才。本专业毕业生应了解网络通信行业及相关领域的法律法规；具有创新意识和严谨的科学素养，掌握科学思维方法和科学研究方法，具备系统的认知能力、科学研究能力、科技开发能力和工程实践能力。</w:t>
      </w:r>
    </w:p>
    <w:p>
      <w:pPr>
        <w:ind w:firstLine="420" w:firstLineChars="200"/>
        <w:rPr>
          <w:bCs/>
          <w:szCs w:val="21"/>
        </w:rPr>
      </w:pPr>
      <w:r>
        <w:rPr>
          <w:rFonts w:hint="eastAsia"/>
          <w:bCs/>
          <w:szCs w:val="21"/>
        </w:rPr>
        <w:t>根据培养目标与培养定位，本专业的基本毕业要求如下：</w:t>
      </w:r>
    </w:p>
    <w:p>
      <w:pPr>
        <w:numPr>
          <w:ilvl w:val="0"/>
          <w:numId w:val="3"/>
        </w:numPr>
        <w:ind w:firstLine="420" w:firstLineChars="200"/>
        <w:rPr>
          <w:bCs/>
          <w:szCs w:val="21"/>
        </w:rPr>
      </w:pPr>
      <w:r>
        <w:rPr>
          <w:rFonts w:hint="eastAsia"/>
          <w:bCs/>
          <w:szCs w:val="21"/>
        </w:rPr>
        <w:t>思想品德：具有坚定正确的政治方向，热爱祖国，热爱人民，拥护中国共产党的领导；具有正确的世界观、人生观、价值观，具有良好的思想品德、健全的人格、健康的体魄，践行社会主义核心价值观。</w:t>
      </w:r>
    </w:p>
    <w:p>
      <w:pPr>
        <w:pStyle w:val="16"/>
        <w:numPr>
          <w:ilvl w:val="1"/>
          <w:numId w:val="4"/>
        </w:numPr>
        <w:ind w:firstLineChars="0"/>
        <w:rPr>
          <w:bCs/>
        </w:rPr>
      </w:pPr>
      <w:r>
        <w:rPr>
          <w:rFonts w:hint="eastAsia"/>
          <w:bCs/>
        </w:rPr>
        <w:t>具备健康的网络空间安全观、正确的国家网络安全观和科学的网络安全防范意识，领悟网络工程领域所需数学、自然科学、工程基础和专业知识所蕴含的科学思想、科学方法、科学精神与科学文化，增强爱国主义热情和追求科学真理的精神。</w:t>
      </w:r>
    </w:p>
    <w:p>
      <w:pPr>
        <w:pStyle w:val="16"/>
        <w:numPr>
          <w:ilvl w:val="1"/>
          <w:numId w:val="4"/>
        </w:numPr>
        <w:ind w:firstLineChars="0"/>
        <w:rPr>
          <w:bCs/>
        </w:rPr>
      </w:pPr>
      <w:r>
        <w:rPr>
          <w:rFonts w:hint="eastAsia"/>
          <w:bCs/>
        </w:rPr>
        <w:t>弘扬社会主义核心价值观，提升学生人文素养、科学素养、工程素养和社会责任感，增强遵守职业道德和规范意识；树立可持续发展、工程伦理、网络安全、环境保护理念，塑造未来工程师具备“关爱生命、关爱自然、文明和谐”的可持续发展价值观。</w:t>
      </w:r>
    </w:p>
    <w:p>
      <w:pPr>
        <w:numPr>
          <w:ilvl w:val="0"/>
          <w:numId w:val="3"/>
        </w:numPr>
        <w:ind w:firstLine="420" w:firstLineChars="200"/>
        <w:rPr>
          <w:bCs/>
          <w:szCs w:val="21"/>
        </w:rPr>
      </w:pPr>
      <w:r>
        <w:rPr>
          <w:rFonts w:hint="eastAsia"/>
          <w:bCs/>
          <w:szCs w:val="21"/>
        </w:rPr>
        <w:t>工程知识：能够将数学、自然科学、工程基础和专业知识用于解决复杂工程问题。</w:t>
      </w:r>
    </w:p>
    <w:p>
      <w:pPr>
        <w:pStyle w:val="16"/>
        <w:numPr>
          <w:ilvl w:val="1"/>
          <w:numId w:val="5"/>
        </w:numPr>
        <w:ind w:hanging="566" w:firstLineChars="0"/>
        <w:rPr>
          <w:bCs/>
        </w:rPr>
      </w:pPr>
      <w:r>
        <w:rPr>
          <w:rFonts w:hint="eastAsia"/>
          <w:bCs/>
        </w:rPr>
        <w:t>能够运用数学及自然科学知识对网络工程相关问题的恰当表述与建模；</w:t>
      </w:r>
    </w:p>
    <w:p>
      <w:pPr>
        <w:pStyle w:val="16"/>
        <w:numPr>
          <w:ilvl w:val="1"/>
          <w:numId w:val="5"/>
        </w:numPr>
        <w:ind w:hanging="566" w:firstLineChars="0"/>
        <w:rPr>
          <w:bCs/>
        </w:rPr>
      </w:pPr>
      <w:r>
        <w:rPr>
          <w:rFonts w:hint="eastAsia"/>
          <w:bCs/>
        </w:rPr>
        <w:t>掌握电子信息与计算机工程基础知识，能够系统性理解网络工程领域复杂工程问题；</w:t>
      </w:r>
    </w:p>
    <w:p>
      <w:pPr>
        <w:pStyle w:val="16"/>
        <w:numPr>
          <w:ilvl w:val="1"/>
          <w:numId w:val="5"/>
        </w:numPr>
        <w:ind w:hanging="566" w:firstLineChars="0"/>
        <w:rPr>
          <w:bCs/>
        </w:rPr>
      </w:pPr>
      <w:r>
        <w:rPr>
          <w:rFonts w:hint="eastAsia"/>
          <w:bCs/>
        </w:rPr>
        <w:t>能够应用计算机基础核心理论和方法对网络工程问题进行设计、推理和验证；</w:t>
      </w:r>
    </w:p>
    <w:p>
      <w:pPr>
        <w:pStyle w:val="16"/>
        <w:numPr>
          <w:ilvl w:val="1"/>
          <w:numId w:val="5"/>
        </w:numPr>
        <w:ind w:hanging="566" w:firstLineChars="0"/>
        <w:rPr>
          <w:bCs/>
        </w:rPr>
      </w:pPr>
      <w:r>
        <w:rPr>
          <w:rFonts w:hint="eastAsia"/>
          <w:bCs/>
        </w:rPr>
        <w:t>能运用专业知识对复杂网络工程问题的解决途径进行分析、改进。</w:t>
      </w:r>
    </w:p>
    <w:p>
      <w:pPr>
        <w:numPr>
          <w:ilvl w:val="0"/>
          <w:numId w:val="3"/>
        </w:numPr>
        <w:ind w:firstLine="420" w:firstLineChars="200"/>
        <w:rPr>
          <w:bCs/>
          <w:szCs w:val="21"/>
        </w:rPr>
      </w:pPr>
      <w:r>
        <w:rPr>
          <w:rFonts w:hint="eastAsia"/>
          <w:bCs/>
          <w:szCs w:val="21"/>
        </w:rPr>
        <w:t>问题分析：能够应用数学、自然科学和工程科学的基本原理，识别、表达、并通过文献研究分析复杂工程问题，以获得有效结论。</w:t>
      </w:r>
    </w:p>
    <w:p>
      <w:pPr>
        <w:pStyle w:val="16"/>
        <w:numPr>
          <w:ilvl w:val="1"/>
          <w:numId w:val="6"/>
        </w:numPr>
        <w:ind w:firstLineChars="0"/>
        <w:rPr>
          <w:bCs/>
        </w:rPr>
      </w:pPr>
      <w:r>
        <w:rPr>
          <w:rFonts w:hint="eastAsia"/>
          <w:bCs/>
        </w:rPr>
        <w:t xml:space="preserve">能够运用自然科学和工程学原理识别和判断网络工程应用系统中的科学问题； </w:t>
      </w:r>
    </w:p>
    <w:p>
      <w:pPr>
        <w:pStyle w:val="16"/>
        <w:numPr>
          <w:ilvl w:val="1"/>
          <w:numId w:val="6"/>
        </w:numPr>
        <w:ind w:firstLineChars="0"/>
        <w:rPr>
          <w:bCs/>
        </w:rPr>
      </w:pPr>
      <w:r>
        <w:rPr>
          <w:rFonts w:hint="eastAsia"/>
          <w:bCs/>
        </w:rPr>
        <w:t>了解信息领域主要资料来源及获取方法，能够针对网络通信领域复杂工程问题应用数学原理进行正确建模和表达；</w:t>
      </w:r>
    </w:p>
    <w:p>
      <w:pPr>
        <w:pStyle w:val="16"/>
        <w:numPr>
          <w:ilvl w:val="1"/>
          <w:numId w:val="6"/>
        </w:numPr>
        <w:ind w:firstLineChars="0"/>
        <w:rPr>
          <w:bCs/>
        </w:rPr>
      </w:pPr>
      <w:r>
        <w:rPr>
          <w:rFonts w:hint="eastAsia"/>
          <w:bCs/>
        </w:rPr>
        <w:t xml:space="preserve">具备寻求并评估网络通信领域复杂工程问题多种解决方案的能力； </w:t>
      </w:r>
    </w:p>
    <w:p>
      <w:pPr>
        <w:pStyle w:val="16"/>
        <w:numPr>
          <w:ilvl w:val="1"/>
          <w:numId w:val="6"/>
        </w:numPr>
        <w:ind w:firstLineChars="0"/>
        <w:rPr>
          <w:bCs/>
        </w:rPr>
      </w:pPr>
      <w:r>
        <w:rPr>
          <w:rFonts w:hint="eastAsia"/>
          <w:bCs/>
        </w:rPr>
        <w:t>能够分析网络通信领域复杂工程问题解决过程中的关键影响因素，选择合理的解决方案。</w:t>
      </w:r>
    </w:p>
    <w:p>
      <w:pPr>
        <w:numPr>
          <w:ilvl w:val="0"/>
          <w:numId w:val="3"/>
        </w:numPr>
        <w:ind w:firstLine="420" w:firstLineChars="200"/>
        <w:rPr>
          <w:bCs/>
          <w:szCs w:val="21"/>
        </w:rPr>
      </w:pPr>
      <w:r>
        <w:rPr>
          <w:rFonts w:hint="eastAsia"/>
          <w:bCs/>
          <w:szCs w:val="21"/>
        </w:rPr>
        <w:t>设计/开发解决方案：能够设计针对网络通信领域复杂工程问题的解决方案，设计满足特定需求的系统、单元（部件）或工艺流程，并能够在设计环节中体现创新意识，考虑社会、健康、安全、法律、文化以及环境等因素。</w:t>
      </w:r>
    </w:p>
    <w:p>
      <w:pPr>
        <w:pStyle w:val="16"/>
        <w:numPr>
          <w:ilvl w:val="1"/>
          <w:numId w:val="7"/>
        </w:numPr>
        <w:ind w:firstLineChars="0"/>
        <w:rPr>
          <w:bCs/>
        </w:rPr>
      </w:pPr>
      <w:r>
        <w:rPr>
          <w:rFonts w:hint="eastAsia"/>
          <w:bCs/>
        </w:rPr>
        <w:t>掌握网络系统的设计和实施的全周期、全流程的方法和技术，了解影响设计目标和技术方案的各种因素；</w:t>
      </w:r>
    </w:p>
    <w:p>
      <w:pPr>
        <w:pStyle w:val="16"/>
        <w:numPr>
          <w:ilvl w:val="1"/>
          <w:numId w:val="7"/>
        </w:numPr>
        <w:ind w:firstLineChars="0"/>
        <w:rPr>
          <w:bCs/>
        </w:rPr>
      </w:pPr>
      <w:r>
        <w:rPr>
          <w:rFonts w:hint="eastAsia"/>
          <w:bCs/>
        </w:rPr>
        <w:t xml:space="preserve">掌握一门程序开发语言，能够针对网络软件模块设计合理的数据结构和算法； </w:t>
      </w:r>
    </w:p>
    <w:p>
      <w:pPr>
        <w:pStyle w:val="16"/>
        <w:numPr>
          <w:ilvl w:val="1"/>
          <w:numId w:val="7"/>
        </w:numPr>
        <w:ind w:firstLineChars="0"/>
        <w:rPr>
          <w:bCs/>
        </w:rPr>
      </w:pPr>
      <w:r>
        <w:rPr>
          <w:rFonts w:hint="eastAsia"/>
          <w:bCs/>
        </w:rPr>
        <w:t>能够对网络应用系统进行设计与规划，具备系统评估、部署与维护的能力；</w:t>
      </w:r>
    </w:p>
    <w:p>
      <w:pPr>
        <w:pStyle w:val="16"/>
        <w:numPr>
          <w:ilvl w:val="1"/>
          <w:numId w:val="7"/>
        </w:numPr>
        <w:ind w:firstLineChars="0"/>
        <w:rPr>
          <w:bCs/>
        </w:rPr>
      </w:pPr>
      <w:r>
        <w:rPr>
          <w:rFonts w:hint="eastAsia"/>
          <w:bCs/>
        </w:rPr>
        <w:t>能够在安全、隐私、环境、法律、文化等现实约束条件下，对设计方案的可行性进行分析，并对系统设计方案进行优化和改进，体现创新意识。</w:t>
      </w:r>
    </w:p>
    <w:p>
      <w:pPr>
        <w:numPr>
          <w:ilvl w:val="0"/>
          <w:numId w:val="3"/>
        </w:numPr>
        <w:ind w:firstLine="420" w:firstLineChars="200"/>
        <w:rPr>
          <w:bCs/>
          <w:szCs w:val="21"/>
        </w:rPr>
      </w:pPr>
      <w:r>
        <w:rPr>
          <w:rFonts w:hint="eastAsia"/>
          <w:bCs/>
          <w:szCs w:val="21"/>
        </w:rPr>
        <w:t>研究：能够基于科学原理并采用科学方法对复杂工程问题进行研究，包括设计实验、分析与解释数据、并通过信息综合得到合理有效的结论。</w:t>
      </w:r>
    </w:p>
    <w:p>
      <w:pPr>
        <w:pStyle w:val="16"/>
        <w:numPr>
          <w:ilvl w:val="1"/>
          <w:numId w:val="8"/>
        </w:numPr>
        <w:ind w:firstLineChars="0"/>
        <w:rPr>
          <w:bCs/>
        </w:rPr>
      </w:pPr>
      <w:r>
        <w:rPr>
          <w:rFonts w:hint="eastAsia"/>
          <w:bCs/>
        </w:rPr>
        <w:t>能对数据通信、网络规划、设备配置管理、协议设计等复杂工程问题采用科学思维与科学方法进行分析，并具备问题探索的科学精神。</w:t>
      </w:r>
    </w:p>
    <w:p>
      <w:pPr>
        <w:pStyle w:val="16"/>
        <w:numPr>
          <w:ilvl w:val="1"/>
          <w:numId w:val="8"/>
        </w:numPr>
        <w:ind w:firstLineChars="0"/>
        <w:rPr>
          <w:bCs/>
        </w:rPr>
      </w:pPr>
      <w:r>
        <w:rPr>
          <w:rFonts w:hint="eastAsia"/>
          <w:bCs/>
        </w:rPr>
        <w:t>能够基于科学原理并采用科学方法对网络通信领域复杂工程问题进行研究，包括设计实验、分析与解释数据、并通过综合分析得到合理有效的结论。</w:t>
      </w:r>
    </w:p>
    <w:p>
      <w:pPr>
        <w:pStyle w:val="16"/>
        <w:numPr>
          <w:ilvl w:val="1"/>
          <w:numId w:val="8"/>
        </w:numPr>
        <w:ind w:firstLineChars="0"/>
        <w:rPr>
          <w:bCs/>
        </w:rPr>
      </w:pPr>
      <w:r>
        <w:rPr>
          <w:rFonts w:hint="eastAsia"/>
          <w:bCs/>
        </w:rPr>
        <w:t xml:space="preserve">能够基于科学原理、工程问题需求，选择研究技术路线，设计可行的实验方案； </w:t>
      </w:r>
    </w:p>
    <w:p>
      <w:pPr>
        <w:pStyle w:val="16"/>
        <w:numPr>
          <w:ilvl w:val="1"/>
          <w:numId w:val="8"/>
        </w:numPr>
        <w:ind w:firstLineChars="0"/>
        <w:rPr>
          <w:bCs/>
        </w:rPr>
      </w:pPr>
      <w:r>
        <w:rPr>
          <w:rFonts w:hint="eastAsia"/>
          <w:bCs/>
        </w:rPr>
        <w:t>能正确采集、整理实验数据，对实验结果进行关联、分析和解释，获取合理有效的结论。</w:t>
      </w:r>
    </w:p>
    <w:p>
      <w:pPr>
        <w:numPr>
          <w:ilvl w:val="0"/>
          <w:numId w:val="3"/>
        </w:numPr>
        <w:ind w:firstLine="420" w:firstLineChars="200"/>
        <w:rPr>
          <w:bCs/>
          <w:szCs w:val="21"/>
        </w:rPr>
      </w:pPr>
      <w:r>
        <w:rPr>
          <w:rFonts w:hint="eastAsia"/>
          <w:bCs/>
          <w:szCs w:val="21"/>
        </w:rPr>
        <w:t>使用现代工具：能够针对复杂工程问题，开发、选择与使用恰当的技术、资源、现代工程工具和信息技术工具，包括对复杂工程问题的预测与模拟，并能够理解其局限性。</w:t>
      </w:r>
    </w:p>
    <w:p>
      <w:pPr>
        <w:pStyle w:val="16"/>
        <w:numPr>
          <w:ilvl w:val="1"/>
          <w:numId w:val="9"/>
        </w:numPr>
        <w:ind w:firstLineChars="0"/>
        <w:rPr>
          <w:bCs/>
        </w:rPr>
      </w:pPr>
      <w:r>
        <w:rPr>
          <w:rFonts w:hint="eastAsia"/>
          <w:bCs/>
        </w:rPr>
        <w:t>了解信息领域主要技术发展趋势、开源资源和相关软硬件工具；</w:t>
      </w:r>
    </w:p>
    <w:p>
      <w:pPr>
        <w:pStyle w:val="16"/>
        <w:numPr>
          <w:ilvl w:val="1"/>
          <w:numId w:val="9"/>
        </w:numPr>
        <w:ind w:firstLineChars="0"/>
        <w:rPr>
          <w:bCs/>
        </w:rPr>
      </w:pPr>
      <w:r>
        <w:rPr>
          <w:rFonts w:hint="eastAsia"/>
          <w:bCs/>
        </w:rPr>
        <w:t>能够在网络通信领域复杂工程问题的建模、预测和模拟过程中，选择、使用合适的技术、资源、现代工程工具和信息技术工具，并能理解其局限性；</w:t>
      </w:r>
    </w:p>
    <w:p>
      <w:pPr>
        <w:numPr>
          <w:ilvl w:val="0"/>
          <w:numId w:val="3"/>
        </w:numPr>
        <w:ind w:firstLine="420" w:firstLineChars="200"/>
        <w:rPr>
          <w:bCs/>
          <w:szCs w:val="21"/>
        </w:rPr>
      </w:pPr>
      <w:r>
        <w:rPr>
          <w:rFonts w:hint="eastAsia"/>
          <w:bCs/>
          <w:szCs w:val="21"/>
        </w:rPr>
        <w:t>工程与社会：能够及与工程相关背景知识进行合理分析，评价专业工程实践和复杂工程问题解决方案对社会、健康、安全、法律以及文化的影响，并理解应承担的责任。</w:t>
      </w:r>
    </w:p>
    <w:p>
      <w:pPr>
        <w:pStyle w:val="16"/>
        <w:numPr>
          <w:ilvl w:val="1"/>
          <w:numId w:val="10"/>
        </w:numPr>
        <w:ind w:firstLineChars="0"/>
        <w:rPr>
          <w:bCs/>
        </w:rPr>
      </w:pPr>
      <w:r>
        <w:rPr>
          <w:rFonts w:hint="eastAsia"/>
          <w:bCs/>
        </w:rPr>
        <w:t xml:space="preserve">了解网络行业的特性与发展历史，以及信息化相关产业的基本政策和法规，能合理分析并跟踪网络相关技术的发展趋势； </w:t>
      </w:r>
    </w:p>
    <w:p>
      <w:pPr>
        <w:pStyle w:val="16"/>
        <w:numPr>
          <w:ilvl w:val="1"/>
          <w:numId w:val="10"/>
        </w:numPr>
        <w:ind w:firstLineChars="0"/>
        <w:rPr>
          <w:bCs/>
        </w:rPr>
      </w:pPr>
      <w:r>
        <w:rPr>
          <w:rFonts w:hint="eastAsia"/>
          <w:bCs/>
        </w:rPr>
        <w:t>能合理评价网络通信领域复杂工程问题的解决方案对社会、健康、安全、法律以及文化的影响，并理解应承担的责任。</w:t>
      </w:r>
    </w:p>
    <w:p>
      <w:pPr>
        <w:numPr>
          <w:ilvl w:val="0"/>
          <w:numId w:val="3"/>
        </w:numPr>
        <w:ind w:firstLine="420" w:firstLineChars="200"/>
        <w:rPr>
          <w:bCs/>
          <w:szCs w:val="21"/>
        </w:rPr>
      </w:pPr>
      <w:r>
        <w:rPr>
          <w:rFonts w:hint="eastAsia"/>
          <w:bCs/>
          <w:szCs w:val="21"/>
        </w:rPr>
        <w:t>环境和可持续发展：能够理解和评价针对复杂工程问题的工程实践对环境、社会可持续发展的影响。</w:t>
      </w:r>
    </w:p>
    <w:p>
      <w:pPr>
        <w:pStyle w:val="16"/>
        <w:numPr>
          <w:ilvl w:val="1"/>
          <w:numId w:val="11"/>
        </w:numPr>
        <w:ind w:firstLineChars="0"/>
        <w:rPr>
          <w:bCs/>
        </w:rPr>
      </w:pPr>
      <w:r>
        <w:rPr>
          <w:rFonts w:hint="eastAsia"/>
          <w:bCs/>
        </w:rPr>
        <w:t xml:space="preserve">了解网络行业技术发展前沿，并能理解和预测发展趋势对环境、社会可持续发展的影响； </w:t>
      </w:r>
    </w:p>
    <w:p>
      <w:pPr>
        <w:pStyle w:val="16"/>
        <w:numPr>
          <w:ilvl w:val="1"/>
          <w:numId w:val="11"/>
        </w:numPr>
        <w:ind w:firstLineChars="0"/>
        <w:rPr>
          <w:bCs/>
        </w:rPr>
      </w:pPr>
      <w:r>
        <w:rPr>
          <w:rFonts w:hint="eastAsia"/>
          <w:bCs/>
        </w:rPr>
        <w:t>能够评价通信安全与隐私问题对人文社会和自然环境可持续发展的影响，理解技术因素降低其负面影响的作用和局限性。</w:t>
      </w:r>
    </w:p>
    <w:p>
      <w:pPr>
        <w:numPr>
          <w:ilvl w:val="0"/>
          <w:numId w:val="3"/>
        </w:numPr>
        <w:ind w:firstLine="420" w:firstLineChars="200"/>
        <w:rPr>
          <w:bCs/>
          <w:szCs w:val="21"/>
        </w:rPr>
      </w:pPr>
      <w:r>
        <w:rPr>
          <w:rFonts w:hint="eastAsia"/>
          <w:bCs/>
          <w:szCs w:val="21"/>
        </w:rPr>
        <w:t>职业规范：具有人文社会科学素养、社会责任感，能够在工程实践中理解并遵守工程职业道德和规范，履行责任。</w:t>
      </w:r>
    </w:p>
    <w:p>
      <w:pPr>
        <w:pStyle w:val="16"/>
        <w:numPr>
          <w:ilvl w:val="1"/>
          <w:numId w:val="12"/>
        </w:numPr>
        <w:ind w:firstLineChars="0"/>
        <w:rPr>
          <w:bCs/>
        </w:rPr>
      </w:pPr>
      <w:r>
        <w:rPr>
          <w:rFonts w:hint="eastAsia"/>
          <w:bCs/>
        </w:rPr>
        <w:t>具备人文社会科学素养、社会责任感，具备正确的世界观、人生观和价值观，能够理解个人与社会的关系，了解中国国情；</w:t>
      </w:r>
    </w:p>
    <w:p>
      <w:pPr>
        <w:pStyle w:val="16"/>
        <w:numPr>
          <w:ilvl w:val="1"/>
          <w:numId w:val="12"/>
        </w:numPr>
        <w:ind w:firstLineChars="0"/>
        <w:rPr>
          <w:bCs/>
        </w:rPr>
      </w:pPr>
      <w:r>
        <w:rPr>
          <w:rFonts w:hint="eastAsia"/>
          <w:bCs/>
        </w:rPr>
        <w:t xml:space="preserve">了解网络通信行业应遵守的职业道德和规范，具备科学素养和发展观，能够理解网络工程师的职业性质与责任； </w:t>
      </w:r>
    </w:p>
    <w:p>
      <w:pPr>
        <w:pStyle w:val="16"/>
        <w:numPr>
          <w:ilvl w:val="1"/>
          <w:numId w:val="12"/>
        </w:numPr>
        <w:ind w:firstLineChars="0"/>
        <w:rPr>
          <w:bCs/>
        </w:rPr>
      </w:pPr>
      <w:r>
        <w:rPr>
          <w:rFonts w:hint="eastAsia"/>
          <w:bCs/>
        </w:rPr>
        <w:t>能够在工程实践中遵守网络工程师的职业道德、职业规范并履行相关责任。</w:t>
      </w:r>
    </w:p>
    <w:p>
      <w:pPr>
        <w:numPr>
          <w:ilvl w:val="0"/>
          <w:numId w:val="3"/>
        </w:numPr>
        <w:ind w:firstLine="420" w:firstLineChars="200"/>
        <w:rPr>
          <w:bCs/>
          <w:szCs w:val="21"/>
        </w:rPr>
      </w:pPr>
      <w:r>
        <w:rPr>
          <w:rFonts w:hint="eastAsia"/>
          <w:bCs/>
          <w:szCs w:val="21"/>
        </w:rPr>
        <w:t>个人和团队：能够在多学科背景下的团队中承担个体、团队成员以及负责人的角色。</w:t>
      </w:r>
    </w:p>
    <w:p>
      <w:pPr>
        <w:pStyle w:val="16"/>
        <w:numPr>
          <w:ilvl w:val="1"/>
          <w:numId w:val="13"/>
        </w:numPr>
        <w:ind w:firstLineChars="0"/>
        <w:rPr>
          <w:bCs/>
        </w:rPr>
      </w:pPr>
      <w:r>
        <w:rPr>
          <w:rFonts w:hint="eastAsia"/>
          <w:bCs/>
        </w:rPr>
        <w:t>能够理解多学科背景下的团队中每个角色的定位与责任，胜任个人承担的角色任务，能够与团队其他成员有效沟通与合作；</w:t>
      </w:r>
    </w:p>
    <w:p>
      <w:pPr>
        <w:pStyle w:val="16"/>
        <w:numPr>
          <w:ilvl w:val="1"/>
          <w:numId w:val="13"/>
        </w:numPr>
        <w:ind w:firstLineChars="0"/>
        <w:rPr>
          <w:bCs/>
        </w:rPr>
      </w:pPr>
      <w:r>
        <w:rPr>
          <w:rFonts w:hint="eastAsia"/>
          <w:bCs/>
        </w:rPr>
        <w:t>能够综合考虑各成员在团队中的作用与地位，对团队进行分工与协调，胜任负责人的角色。</w:t>
      </w:r>
    </w:p>
    <w:p>
      <w:pPr>
        <w:numPr>
          <w:ilvl w:val="0"/>
          <w:numId w:val="3"/>
        </w:numPr>
        <w:ind w:firstLine="420" w:firstLineChars="200"/>
        <w:rPr>
          <w:bCs/>
          <w:szCs w:val="21"/>
        </w:rPr>
      </w:pPr>
      <w:r>
        <w:rPr>
          <w:rFonts w:hint="eastAsia"/>
          <w:bCs/>
          <w:szCs w:val="21"/>
        </w:rPr>
        <w:t>沟通：能够就复杂工程问题与业界同行及社会公众进行有效沟通和交流，包括撰写报告和设计文稿、陈述发言、清晰表达或回应指令，并具备一定的国际视野，能够在跨文化背景下进行沟通和交流。</w:t>
      </w:r>
    </w:p>
    <w:p>
      <w:pPr>
        <w:pStyle w:val="16"/>
        <w:numPr>
          <w:ilvl w:val="1"/>
          <w:numId w:val="14"/>
        </w:numPr>
        <w:ind w:firstLineChars="0"/>
        <w:rPr>
          <w:bCs/>
        </w:rPr>
      </w:pPr>
      <w:r>
        <w:rPr>
          <w:rFonts w:hint="eastAsia"/>
          <w:bCs/>
        </w:rPr>
        <w:t xml:space="preserve">具备良好的表达沟通能力，能够就专业问题与业界同行及社会公众进行有效沟通和交流，包括撰写报告和设计文稿、陈述发言、清晰表达或回应指令等； </w:t>
      </w:r>
    </w:p>
    <w:p>
      <w:pPr>
        <w:pStyle w:val="16"/>
        <w:numPr>
          <w:ilvl w:val="1"/>
          <w:numId w:val="14"/>
        </w:numPr>
        <w:ind w:firstLineChars="0"/>
        <w:rPr>
          <w:bCs/>
        </w:rPr>
      </w:pPr>
      <w:r>
        <w:rPr>
          <w:rFonts w:hint="eastAsia"/>
          <w:bCs/>
        </w:rPr>
        <w:t>掌握英语，具备跨文化交流的语言和书面表达能力，能够能就专业问题在跨文化背景下进行沟通和交流；具备一定的国际视野，了解专业领域的国际发展趋势、研究热点。</w:t>
      </w:r>
    </w:p>
    <w:p>
      <w:pPr>
        <w:numPr>
          <w:ilvl w:val="0"/>
          <w:numId w:val="3"/>
        </w:numPr>
        <w:ind w:firstLine="420" w:firstLineChars="200"/>
        <w:rPr>
          <w:bCs/>
          <w:szCs w:val="21"/>
        </w:rPr>
      </w:pPr>
      <w:r>
        <w:rPr>
          <w:rFonts w:hint="eastAsia"/>
          <w:bCs/>
          <w:szCs w:val="21"/>
        </w:rPr>
        <w:t>项目管理：理解并掌握工程管理原理与经济决策方法，并能在多学科环境中应用。</w:t>
      </w:r>
    </w:p>
    <w:p>
      <w:pPr>
        <w:pStyle w:val="16"/>
        <w:numPr>
          <w:ilvl w:val="1"/>
          <w:numId w:val="15"/>
        </w:numPr>
        <w:ind w:firstLineChars="0"/>
        <w:rPr>
          <w:bCs/>
        </w:rPr>
      </w:pPr>
      <w:r>
        <w:rPr>
          <w:rFonts w:hint="eastAsia"/>
          <w:bCs/>
        </w:rPr>
        <w:t>掌握工程项目管理的基本原理与经济决策知识，具备一定的工程项目规划与管理能力；</w:t>
      </w:r>
    </w:p>
    <w:p>
      <w:pPr>
        <w:pStyle w:val="16"/>
        <w:numPr>
          <w:ilvl w:val="1"/>
          <w:numId w:val="15"/>
        </w:numPr>
        <w:ind w:firstLineChars="0"/>
        <w:rPr>
          <w:bCs/>
        </w:rPr>
      </w:pPr>
      <w:r>
        <w:rPr>
          <w:rFonts w:hint="eastAsia"/>
          <w:bCs/>
        </w:rPr>
        <w:t>在多学科环境中，了解项目与产品的设计流程，能够理解相关的工程管理和经济决策问题，能够应用工程管理原理与经济决策方法对网络工程项目进行高效管理。</w:t>
      </w:r>
    </w:p>
    <w:p>
      <w:pPr>
        <w:numPr>
          <w:ilvl w:val="0"/>
          <w:numId w:val="3"/>
        </w:numPr>
        <w:ind w:firstLine="420" w:firstLineChars="200"/>
        <w:rPr>
          <w:bCs/>
          <w:szCs w:val="21"/>
        </w:rPr>
      </w:pPr>
      <w:r>
        <w:rPr>
          <w:rFonts w:hint="eastAsia"/>
          <w:bCs/>
          <w:szCs w:val="21"/>
        </w:rPr>
        <w:t>终身学习：具有自主学习和终身学习的意识，有不断学习和适应发展的能力。</w:t>
      </w:r>
    </w:p>
    <w:p>
      <w:pPr>
        <w:pStyle w:val="16"/>
        <w:numPr>
          <w:ilvl w:val="1"/>
          <w:numId w:val="16"/>
        </w:numPr>
        <w:ind w:firstLineChars="0"/>
        <w:rPr>
          <w:bCs/>
        </w:rPr>
      </w:pPr>
      <w:r>
        <w:rPr>
          <w:rFonts w:hint="eastAsia"/>
          <w:bCs/>
        </w:rPr>
        <w:t>了解专业发展的前沿科学技术，树立正确的职业价值观和人生观，增强自主学习、终身学习、使命担当的意识。</w:t>
      </w:r>
    </w:p>
    <w:p>
      <w:pPr>
        <w:pStyle w:val="16"/>
        <w:numPr>
          <w:ilvl w:val="1"/>
          <w:numId w:val="16"/>
        </w:numPr>
        <w:ind w:firstLineChars="0"/>
        <w:rPr>
          <w:bCs/>
        </w:rPr>
      </w:pPr>
      <w:r>
        <w:rPr>
          <w:rFonts w:hint="eastAsia"/>
          <w:bCs/>
        </w:rPr>
        <w:t>能够认识到终身学习的重要性，理解信息技术发展迅速、技术更新周期短的特点，掌握科学的学习方法，树立适合自己发展的规划和目标；</w:t>
      </w:r>
    </w:p>
    <w:p>
      <w:pPr>
        <w:pStyle w:val="16"/>
        <w:numPr>
          <w:ilvl w:val="1"/>
          <w:numId w:val="16"/>
        </w:numPr>
        <w:ind w:firstLineChars="0"/>
        <w:rPr>
          <w:bCs/>
        </w:rPr>
      </w:pPr>
      <w:r>
        <w:rPr>
          <w:rFonts w:hint="eastAsia"/>
          <w:bCs/>
        </w:rPr>
        <w:t>具备主动学习意识，养成不断探索的学习习惯，具备自主发现问题、归纳总结和解决问题的能力。</w:t>
      </w:r>
    </w:p>
    <w:p>
      <w:pPr>
        <w:rPr>
          <w:rFonts w:hint="eastAsia" w:ascii="黑体" w:hAnsi="黑体" w:eastAsia="黑体" w:cs="黑体"/>
          <w:b/>
          <w:color w:val="000000"/>
          <w:szCs w:val="21"/>
        </w:rPr>
      </w:pPr>
    </w:p>
    <w:p>
      <w:pPr>
        <w:rPr>
          <w:rFonts w:ascii="黑体" w:hAnsi="黑体" w:eastAsia="黑体" w:cs="黑体"/>
          <w:b/>
          <w:color w:val="000000"/>
          <w:szCs w:val="21"/>
        </w:rPr>
      </w:pPr>
      <w:r>
        <w:rPr>
          <w:rFonts w:hint="eastAsia" w:ascii="黑体" w:hAnsi="黑体" w:eastAsia="黑体" w:cs="黑体"/>
          <w:b/>
          <w:color w:val="000000"/>
          <w:szCs w:val="21"/>
        </w:rPr>
        <w:t>四、主干学科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仿宋_GB2312" w:hAnsi="仿宋_GB2312" w:eastAsia="仿宋_GB2312" w:cs="仿宋_GB2312"/>
          <w:sz w:val="24"/>
        </w:rPr>
      </w:pPr>
      <w:r>
        <w:rPr>
          <w:rFonts w:hint="eastAsia" w:ascii="宋体" w:hAnsi="宋体" w:cs="宋体"/>
          <w:szCs w:val="21"/>
        </w:rPr>
        <w:t>计算学科，信息与通信工程，电子科学与技术</w:t>
      </w:r>
    </w:p>
    <w:p>
      <w:pPr>
        <w:ind w:firstLine="480"/>
        <w:rPr>
          <w:rFonts w:ascii="宋体" w:hAnsi="宋体" w:cs="宋体"/>
          <w:color w:val="FF0000"/>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黑体" w:hAnsi="黑体" w:eastAsia="黑体" w:cs="黑体"/>
          <w:bCs/>
          <w:color w:val="000000"/>
          <w:szCs w:val="21"/>
        </w:rPr>
      </w:pPr>
      <w:r>
        <w:rPr>
          <w:rFonts w:hint="eastAsia" w:ascii="黑体" w:hAnsi="黑体" w:eastAsia="黑体" w:cs="黑体"/>
          <w:b/>
          <w:color w:val="000000"/>
          <w:szCs w:val="21"/>
        </w:rPr>
        <w:t>五、核心课程</w:t>
      </w:r>
    </w:p>
    <w:p>
      <w:pPr>
        <w:ind w:firstLine="425"/>
        <w:rPr>
          <w:rFonts w:ascii="宋体" w:hAnsi="宋体" w:cs="宋体"/>
        </w:rPr>
      </w:pPr>
      <w:r>
        <w:rPr>
          <w:rFonts w:hint="eastAsia" w:ascii="宋体" w:hAnsi="宋体" w:cs="宋体"/>
        </w:rPr>
        <w:t>通信基础，信息安全技术，操作系统原理，数据库原理，计算机网络，计算机网络工程，网络路由与交换，网络协议分析与编程，计算机网络安全，认证网络工程师</w:t>
      </w:r>
    </w:p>
    <w:p>
      <w:pPr>
        <w:rPr>
          <w:rFonts w:ascii="黑体" w:hAnsi="黑体" w:eastAsia="黑体" w:cs="黑体"/>
          <w:color w:val="000000"/>
          <w:szCs w:val="21"/>
        </w:rPr>
      </w:pPr>
    </w:p>
    <w:p>
      <w:pPr>
        <w:rPr>
          <w:rFonts w:ascii="黑体" w:hAnsi="黑体" w:eastAsia="黑体" w:cs="黑体"/>
          <w:color w:val="000000"/>
          <w:szCs w:val="21"/>
        </w:rPr>
      </w:pPr>
      <w:r>
        <w:rPr>
          <w:rFonts w:hint="eastAsia" w:ascii="黑体" w:hAnsi="黑体" w:eastAsia="黑体" w:cs="黑体"/>
          <w:b/>
          <w:bCs/>
          <w:color w:val="000000"/>
          <w:szCs w:val="21"/>
        </w:rPr>
        <w:t>六、主要实践性教学环节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cs="宋体"/>
          <w:szCs w:val="21"/>
        </w:rPr>
      </w:pPr>
      <w:r>
        <w:rPr>
          <w:rFonts w:hint="eastAsia" w:ascii="宋体" w:hAnsi="宋体" w:cs="宋体"/>
          <w:szCs w:val="21"/>
        </w:rPr>
        <w:t>军事技能、工程实训、高级语言程序设计课程设计、认识实习、数据库应用课程设计、计算机网络课程设计、网络编程课程设计、操作系统课程设计、网络安全课程设计、创新创业训练与实践、毕业实习、毕业设计（论文）</w:t>
      </w:r>
    </w:p>
    <w:p>
      <w:pPr>
        <w:rPr>
          <w:rFonts w:ascii="黑体" w:hAnsi="黑体" w:eastAsia="黑体" w:cs="黑体"/>
          <w:b/>
          <w:color w:val="000000"/>
          <w:szCs w:val="21"/>
        </w:rPr>
      </w:pPr>
      <w:r>
        <w:rPr>
          <w:rFonts w:hint="eastAsia" w:ascii="黑体" w:hAnsi="黑体" w:eastAsia="黑体" w:cs="黑体"/>
          <w:b/>
          <w:color w:val="000000"/>
          <w:szCs w:val="21"/>
        </w:rPr>
        <w:t>七、</w:t>
      </w:r>
      <w:r>
        <w:rPr>
          <w:rFonts w:hint="eastAsia" w:ascii="黑体" w:hAnsi="黑体" w:eastAsia="黑体" w:cs="黑体"/>
          <w:b/>
          <w:bCs/>
          <w:szCs w:val="21"/>
        </w:rPr>
        <w:t>主要专业实验</w:t>
      </w:r>
    </w:p>
    <w:p>
      <w:pPr>
        <w:ind w:firstLine="420"/>
      </w:pPr>
      <w:r>
        <w:rPr>
          <w:rFonts w:hint="eastAsia"/>
        </w:rPr>
        <w:t>操作系统原理，数据库原理，计算机网络，计算机网络工程，网络路由与交换，网络协议分析与编程，计算机网络安全</w:t>
      </w:r>
    </w:p>
    <w:p>
      <w:pPr>
        <w:rPr>
          <w:rFonts w:ascii="宋体" w:hAnsi="宋体" w:cs="宋体"/>
          <w:szCs w:val="21"/>
        </w:rPr>
      </w:pPr>
    </w:p>
    <w:p>
      <w:pPr>
        <w:rPr>
          <w:rFonts w:ascii="宋体" w:hAnsi="宋体" w:cs="宋体"/>
          <w:b/>
          <w:bCs/>
          <w:szCs w:val="21"/>
        </w:rPr>
      </w:pPr>
      <w:r>
        <w:rPr>
          <w:rFonts w:hint="eastAsia" w:ascii="黑体" w:hAnsi="黑体" w:eastAsia="黑体" w:cs="黑体"/>
          <w:b/>
          <w:bCs/>
          <w:szCs w:val="21"/>
        </w:rPr>
        <w:t xml:space="preserve">八、毕业学分要求及授予学位 </w:t>
      </w:r>
      <w:r>
        <w:rPr>
          <w:rFonts w:hint="eastAsia" w:ascii="宋体" w:hAnsi="宋体" w:cs="宋体"/>
          <w:b/>
          <w:bCs/>
          <w:szCs w:val="21"/>
        </w:rPr>
        <w:t xml:space="preserve">                  </w:t>
      </w:r>
    </w:p>
    <w:p>
      <w:pPr>
        <w:ind w:firstLine="425"/>
      </w:pPr>
      <w:r>
        <w:rPr>
          <w:rFonts w:hint="eastAsia"/>
        </w:rPr>
        <w:t>学生在规定的时间内学完培养方案规定的全部课程和学习任务获得相应的学分（修满</w:t>
      </w:r>
      <w:r>
        <w:t>16</w:t>
      </w:r>
      <w:r>
        <w:rPr>
          <w:rFonts w:hint="eastAsia"/>
          <w:lang w:val="en-US" w:eastAsia="zh-CN"/>
        </w:rPr>
        <w:t>5</w:t>
      </w:r>
      <w:r>
        <w:t>.5</w:t>
      </w:r>
      <w:r>
        <w:rPr>
          <w:rFonts w:hint="eastAsia"/>
        </w:rPr>
        <w:t>学分），素质拓展教育4学分（包括社会实践、大学生科学创新实践和学科竞赛等，由团委统一安排），</w:t>
      </w:r>
      <w:r>
        <w:rPr>
          <w:rFonts w:hint="eastAsia"/>
          <w:color w:val="000000"/>
          <w:szCs w:val="21"/>
        </w:rPr>
        <w:t>劳动教育</w:t>
      </w:r>
      <w:r>
        <w:rPr>
          <w:color w:val="000000"/>
          <w:szCs w:val="21"/>
        </w:rPr>
        <w:t>32</w:t>
      </w:r>
      <w:r>
        <w:rPr>
          <w:rFonts w:hint="eastAsia"/>
          <w:color w:val="000000"/>
          <w:szCs w:val="21"/>
        </w:rPr>
        <w:t>学时，达到《国家学生体质健康标准》合格要求，</w:t>
      </w:r>
      <w:r>
        <w:rPr>
          <w:rFonts w:hint="eastAsia"/>
        </w:rPr>
        <w:t>符合各项要求者，准予毕业并发给毕业证书。毕业生符合国家和学校的有关规定者，经校学位委员会审查通过，授予工学学士学位。</w:t>
      </w:r>
    </w:p>
    <w:p>
      <w:pPr>
        <w:ind w:firstLine="425"/>
      </w:pPr>
    </w:p>
    <w:p>
      <w:pPr>
        <w:keepNext w:val="0"/>
        <w:keepLines w:val="0"/>
        <w:pageBreakBefore w:val="0"/>
        <w:widowControl w:val="0"/>
        <w:kinsoku/>
        <w:wordWrap/>
        <w:overflowPunct/>
        <w:topLinePunct w:val="0"/>
        <w:autoSpaceDE/>
        <w:autoSpaceDN/>
        <w:bidi w:val="0"/>
        <w:adjustRightInd/>
        <w:snapToGrid/>
        <w:spacing w:after="95" w:afterLines="30"/>
        <w:textAlignment w:val="auto"/>
        <w:rPr>
          <w:rFonts w:ascii="宋体" w:hAnsi="宋体" w:cs="宋体"/>
          <w:b/>
          <w:bCs/>
          <w:color w:val="FF0000"/>
          <w:szCs w:val="21"/>
        </w:rPr>
      </w:pPr>
      <w:r>
        <w:rPr>
          <w:rFonts w:hint="eastAsia" w:ascii="黑体" w:hAnsi="黑体" w:eastAsia="黑体" w:cs="黑体"/>
          <w:b/>
          <w:bCs/>
          <w:szCs w:val="21"/>
        </w:rPr>
        <w:t>九、各类课程学时学分分配表</w:t>
      </w:r>
    </w:p>
    <w:tbl>
      <w:tblPr>
        <w:tblStyle w:val="6"/>
        <w:tblW w:w="8240" w:type="dxa"/>
        <w:tblInd w:w="0" w:type="dxa"/>
        <w:tblLayout w:type="autofit"/>
        <w:tblCellMar>
          <w:top w:w="0" w:type="dxa"/>
          <w:left w:w="108" w:type="dxa"/>
          <w:bottom w:w="0" w:type="dxa"/>
          <w:right w:w="108" w:type="dxa"/>
        </w:tblCellMar>
      </w:tblPr>
      <w:tblGrid>
        <w:gridCol w:w="1201"/>
        <w:gridCol w:w="4120"/>
        <w:gridCol w:w="1450"/>
        <w:gridCol w:w="1469"/>
      </w:tblGrid>
      <w:tr>
        <w:tblPrEx>
          <w:tblCellMar>
            <w:top w:w="0" w:type="dxa"/>
            <w:left w:w="108" w:type="dxa"/>
            <w:bottom w:w="0" w:type="dxa"/>
            <w:right w:w="108" w:type="dxa"/>
          </w:tblCellMar>
        </w:tblPrEx>
        <w:trPr>
          <w:trHeight w:val="525" w:hRule="atLeast"/>
        </w:trPr>
        <w:tc>
          <w:tcPr>
            <w:tcW w:w="8240" w:type="dxa"/>
            <w:gridSpan w:val="4"/>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学时分配（课内</w:t>
            </w:r>
            <w:r>
              <w:rPr>
                <w:rFonts w:hint="default" w:ascii="Times New Roman" w:hAnsi="Times New Roman" w:cs="Times New Roman"/>
                <w:kern w:val="0"/>
                <w:sz w:val="21"/>
                <w:szCs w:val="21"/>
                <w:lang w:val="en-US" w:eastAsia="zh-CN"/>
              </w:rPr>
              <w:t>2264</w:t>
            </w:r>
            <w:r>
              <w:rPr>
                <w:rFonts w:hint="default" w:ascii="Times New Roman" w:hAnsi="Times New Roman" w:cs="Times New Roman"/>
                <w:kern w:val="0"/>
                <w:sz w:val="21"/>
                <w:szCs w:val="21"/>
              </w:rPr>
              <w:t>学时，集中实践560学时，共</w:t>
            </w:r>
            <w:r>
              <w:rPr>
                <w:rFonts w:hint="default" w:ascii="Times New Roman" w:hAnsi="Times New Roman" w:cs="Times New Roman"/>
                <w:kern w:val="0"/>
                <w:sz w:val="21"/>
                <w:szCs w:val="21"/>
                <w:lang w:val="en-US" w:eastAsia="zh-CN"/>
              </w:rPr>
              <w:t>2824</w:t>
            </w:r>
            <w:r>
              <w:rPr>
                <w:rFonts w:hint="default" w:ascii="Times New Roman" w:hAnsi="Times New Roman" w:cs="Times New Roman"/>
                <w:kern w:val="0"/>
                <w:sz w:val="21"/>
                <w:szCs w:val="21"/>
              </w:rPr>
              <w:t>学时，其中必修课</w:t>
            </w:r>
            <w:r>
              <w:rPr>
                <w:rFonts w:hint="default" w:ascii="Times New Roman" w:hAnsi="Times New Roman" w:cs="Times New Roman"/>
                <w:kern w:val="0"/>
                <w:sz w:val="21"/>
                <w:szCs w:val="21"/>
                <w:lang w:val="en-US" w:eastAsia="zh-CN"/>
              </w:rPr>
              <w:t>2392</w:t>
            </w:r>
            <w:r>
              <w:rPr>
                <w:rFonts w:hint="default" w:ascii="Times New Roman" w:hAnsi="Times New Roman" w:cs="Times New Roman"/>
                <w:kern w:val="0"/>
                <w:sz w:val="21"/>
                <w:szCs w:val="21"/>
              </w:rPr>
              <w:t>学时,选修课432学时）</w:t>
            </w:r>
          </w:p>
        </w:tc>
      </w:tr>
      <w:tr>
        <w:tblPrEx>
          <w:tblCellMar>
            <w:top w:w="0" w:type="dxa"/>
            <w:left w:w="108" w:type="dxa"/>
            <w:bottom w:w="0" w:type="dxa"/>
            <w:right w:w="108" w:type="dxa"/>
          </w:tblCellMar>
        </w:tblPrEx>
        <w:trPr>
          <w:trHeight w:val="263" w:hRule="atLeast"/>
        </w:trPr>
        <w:tc>
          <w:tcPr>
            <w:tcW w:w="120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类别</w:t>
            </w: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内容</w:t>
            </w:r>
          </w:p>
        </w:tc>
        <w:tc>
          <w:tcPr>
            <w:tcW w:w="291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比例</w:t>
            </w:r>
          </w:p>
        </w:tc>
      </w:tr>
      <w:tr>
        <w:tblPrEx>
          <w:tblCellMar>
            <w:top w:w="0" w:type="dxa"/>
            <w:left w:w="108" w:type="dxa"/>
            <w:bottom w:w="0" w:type="dxa"/>
            <w:right w:w="108" w:type="dxa"/>
          </w:tblCellMar>
        </w:tblPrEx>
        <w:trPr>
          <w:trHeight w:val="1000" w:hRule="atLeast"/>
        </w:trPr>
        <w:tc>
          <w:tcPr>
            <w:tcW w:w="120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通识必修课程</w:t>
            </w: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思政类、语言与工具类、综合素养类、能源电力特色类等：（</w:t>
            </w:r>
            <w:r>
              <w:rPr>
                <w:rFonts w:hint="default" w:ascii="Times New Roman" w:hAnsi="Times New Roman" w:cs="Times New Roman"/>
                <w:kern w:val="0"/>
                <w:sz w:val="21"/>
                <w:szCs w:val="21"/>
                <w:lang w:val="en-US" w:eastAsia="zh-CN"/>
              </w:rPr>
              <w:t>744</w:t>
            </w:r>
            <w:r>
              <w:rPr>
                <w:rFonts w:hint="default" w:ascii="Times New Roman" w:hAnsi="Times New Roman" w:cs="Times New Roman"/>
                <w:kern w:val="0"/>
                <w:sz w:val="21"/>
                <w:szCs w:val="21"/>
              </w:rPr>
              <w:t>学时）</w:t>
            </w:r>
          </w:p>
        </w:tc>
        <w:tc>
          <w:tcPr>
            <w:tcW w:w="291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32.86</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802" w:hRule="atLeast"/>
        </w:trPr>
        <w:tc>
          <w:tcPr>
            <w:tcW w:w="1201"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通识选修课程</w:t>
            </w: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人文社科类、思政教育类、艺术审美类、自然科学类、外语拓展类：（160学时）</w:t>
            </w:r>
          </w:p>
        </w:tc>
        <w:tc>
          <w:tcPr>
            <w:tcW w:w="291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7.06</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312" w:hRule="atLeast"/>
        </w:trPr>
        <w:tc>
          <w:tcPr>
            <w:tcW w:w="1201"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学科基础课程</w:t>
            </w: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公共基础课：（464学时）</w:t>
            </w:r>
          </w:p>
        </w:tc>
        <w:tc>
          <w:tcPr>
            <w:tcW w:w="1450" w:type="dxa"/>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20.49</w:t>
            </w:r>
            <w:r>
              <w:rPr>
                <w:rFonts w:hint="default" w:ascii="Times New Roman" w:hAnsi="Times New Roman" w:cs="Times New Roman"/>
                <w:kern w:val="0"/>
                <w:sz w:val="21"/>
                <w:szCs w:val="21"/>
              </w:rPr>
              <w:t>%</w:t>
            </w:r>
          </w:p>
        </w:tc>
        <w:tc>
          <w:tcPr>
            <w:tcW w:w="1469" w:type="dxa"/>
            <w:vMerge w:val="restart"/>
            <w:tcBorders>
              <w:top w:val="single" w:color="auto" w:sz="6" w:space="0"/>
              <w:left w:val="single" w:color="auto" w:sz="6" w:space="0"/>
              <w:right w:val="single" w:color="auto" w:sz="6" w:space="0"/>
            </w:tcBorders>
            <w:shd w:val="clear" w:color="auto" w:fill="auto"/>
            <w:vAlign w:val="center"/>
          </w:tcPr>
          <w:p>
            <w:pPr>
              <w:widowControl/>
              <w:jc w:val="both"/>
              <w:rPr>
                <w:rFonts w:hint="default" w:ascii="Times New Roman" w:hAnsi="Times New Roman" w:cs="Times New Roman"/>
                <w:kern w:val="0"/>
                <w:sz w:val="21"/>
                <w:szCs w:val="21"/>
              </w:rPr>
            </w:pP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31.8</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255" w:hRule="atLeast"/>
        </w:trPr>
        <w:tc>
          <w:tcPr>
            <w:tcW w:w="1201"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专业基础课：（256学时）</w:t>
            </w:r>
          </w:p>
        </w:tc>
        <w:tc>
          <w:tcPr>
            <w:tcW w:w="1450" w:type="dxa"/>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11.3</w:t>
            </w:r>
            <w:r>
              <w:rPr>
                <w:rFonts w:hint="default" w:ascii="Times New Roman" w:hAnsi="Times New Roman" w:cs="Times New Roman"/>
                <w:kern w:val="0"/>
                <w:sz w:val="21"/>
                <w:szCs w:val="21"/>
              </w:rPr>
              <w:t>%</w:t>
            </w:r>
          </w:p>
        </w:tc>
        <w:tc>
          <w:tcPr>
            <w:tcW w:w="1469" w:type="dxa"/>
            <w:vMerge w:val="continue"/>
            <w:tcBorders>
              <w:left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p>
        </w:tc>
      </w:tr>
      <w:tr>
        <w:tblPrEx>
          <w:tblCellMar>
            <w:top w:w="0" w:type="dxa"/>
            <w:left w:w="108" w:type="dxa"/>
            <w:bottom w:w="0" w:type="dxa"/>
            <w:right w:w="108" w:type="dxa"/>
          </w:tblCellMar>
        </w:tblPrEx>
        <w:trPr>
          <w:trHeight w:val="598" w:hRule="atLeast"/>
        </w:trPr>
        <w:tc>
          <w:tcPr>
            <w:tcW w:w="1201"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专业教育课程</w:t>
            </w: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专业核心课（必修）：（368学时）</w:t>
            </w:r>
          </w:p>
        </w:tc>
        <w:tc>
          <w:tcPr>
            <w:tcW w:w="1450" w:type="dxa"/>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16.25</w:t>
            </w:r>
            <w:r>
              <w:rPr>
                <w:rFonts w:hint="default" w:ascii="Times New Roman" w:hAnsi="Times New Roman" w:cs="Times New Roman"/>
                <w:kern w:val="0"/>
                <w:sz w:val="21"/>
                <w:szCs w:val="21"/>
              </w:rPr>
              <w:t>%</w:t>
            </w:r>
          </w:p>
        </w:tc>
        <w:tc>
          <w:tcPr>
            <w:tcW w:w="1469" w:type="dxa"/>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28.26</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255" w:hRule="atLeast"/>
        </w:trPr>
        <w:tc>
          <w:tcPr>
            <w:tcW w:w="1201"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专业选修课：（272学时）</w:t>
            </w:r>
          </w:p>
        </w:tc>
        <w:tc>
          <w:tcPr>
            <w:tcW w:w="1450" w:type="dxa"/>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12.01</w:t>
            </w:r>
            <w:r>
              <w:rPr>
                <w:rFonts w:hint="default" w:ascii="Times New Roman" w:hAnsi="Times New Roman" w:cs="Times New Roman"/>
                <w:kern w:val="0"/>
                <w:sz w:val="21"/>
                <w:szCs w:val="21"/>
              </w:rPr>
              <w:t>%</w:t>
            </w:r>
          </w:p>
        </w:tc>
        <w:tc>
          <w:tcPr>
            <w:tcW w:w="1469" w:type="dxa"/>
            <w:vMerge w:val="continue"/>
            <w:tcBorders>
              <w:left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p>
        </w:tc>
      </w:tr>
      <w:tr>
        <w:tblPrEx>
          <w:tblCellMar>
            <w:top w:w="0" w:type="dxa"/>
            <w:left w:w="108" w:type="dxa"/>
            <w:bottom w:w="0" w:type="dxa"/>
            <w:right w:w="108" w:type="dxa"/>
          </w:tblCellMar>
        </w:tblPrEx>
        <w:trPr>
          <w:trHeight w:val="443" w:hRule="atLeast"/>
        </w:trPr>
        <w:tc>
          <w:tcPr>
            <w:tcW w:w="1201"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集中实践课程</w:t>
            </w: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必修课课内实验、上机等：（290学时）</w:t>
            </w:r>
          </w:p>
        </w:tc>
        <w:tc>
          <w:tcPr>
            <w:tcW w:w="2919" w:type="dxa"/>
            <w:gridSpan w:val="2"/>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占必修课总学时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35.54</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418" w:hRule="atLeast"/>
        </w:trPr>
        <w:tc>
          <w:tcPr>
            <w:tcW w:w="1201"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4120"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集中实践教学环节：（560学时）</w:t>
            </w:r>
          </w:p>
        </w:tc>
        <w:tc>
          <w:tcPr>
            <w:tcW w:w="2919" w:type="dxa"/>
            <w:gridSpan w:val="2"/>
            <w:vMerge w:val="continue"/>
            <w:tcBorders>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p>
        </w:tc>
      </w:tr>
    </w:tbl>
    <w:p>
      <w:pPr>
        <w:rPr>
          <w:rFonts w:ascii="黑体" w:hAnsi="黑体" w:eastAsia="黑体" w:cs="黑体"/>
          <w:b/>
          <w:bCs/>
          <w:szCs w:val="21"/>
        </w:rPr>
      </w:pPr>
    </w:p>
    <w:p>
      <w:pPr>
        <w:numPr>
          <w:ilvl w:val="0"/>
          <w:numId w:val="17"/>
        </w:numPr>
        <w:adjustRightInd w:val="0"/>
        <w:snapToGrid w:val="0"/>
        <w:rPr>
          <w:rFonts w:hint="eastAsia" w:ascii="黑体" w:hAnsi="黑体" w:eastAsia="黑体" w:cs="黑体"/>
          <w:b/>
          <w:bCs/>
          <w:szCs w:val="21"/>
        </w:rPr>
      </w:pPr>
      <w:r>
        <w:rPr>
          <w:rFonts w:hint="eastAsia" w:ascii="黑体" w:hAnsi="黑体" w:eastAsia="黑体" w:cs="黑体"/>
          <w:b/>
          <w:bCs/>
          <w:szCs w:val="21"/>
        </w:rPr>
        <w:t>教学安排指导表（另附表）</w:t>
      </w:r>
    </w:p>
    <w:p>
      <w:pPr>
        <w:numPr>
          <w:ilvl w:val="0"/>
          <w:numId w:val="0"/>
        </w:numPr>
        <w:adjustRightInd w:val="0"/>
        <w:snapToGrid w:val="0"/>
        <w:rPr>
          <w:rFonts w:hint="eastAsia" w:ascii="黑体" w:hAnsi="黑体" w:eastAsia="黑体" w:cs="黑体"/>
          <w:b/>
          <w:bCs/>
          <w:szCs w:val="21"/>
        </w:rPr>
      </w:pPr>
    </w:p>
    <w:p>
      <w:pPr>
        <w:numPr>
          <w:ilvl w:val="0"/>
          <w:numId w:val="0"/>
        </w:numPr>
        <w:adjustRightInd w:val="0"/>
        <w:snapToGrid w:val="0"/>
        <w:rPr>
          <w:rFonts w:ascii="宋体" w:hAnsi="宋体" w:eastAsia="黑体"/>
          <w:b/>
          <w:sz w:val="28"/>
          <w:szCs w:val="28"/>
        </w:rPr>
      </w:pPr>
      <w:r>
        <w:rPr>
          <w:rFonts w:hint="eastAsia" w:ascii="黑体" w:hAnsi="黑体" w:eastAsia="黑体" w:cs="黑体"/>
          <w:b/>
          <w:bCs/>
          <w:szCs w:val="21"/>
        </w:rPr>
        <w:t>十一、专业培养目标、毕业要求及其与课程的对应关系表</w:t>
      </w:r>
    </w:p>
    <w:p>
      <w:pPr>
        <w:adjustRightInd w:val="0"/>
        <w:snapToGrid w:val="0"/>
        <w:spacing w:line="360" w:lineRule="auto"/>
        <w:rPr>
          <w:rFonts w:ascii="黑体" w:hAnsi="黑体" w:eastAsia="黑体" w:cs="黑体"/>
          <w:bCs/>
          <w:szCs w:val="21"/>
        </w:rPr>
      </w:pPr>
      <w:r>
        <w:rPr>
          <w:rFonts w:hint="eastAsia" w:ascii="黑体" w:hAnsi="黑体" w:eastAsia="黑体" w:cs="黑体"/>
          <w:bCs/>
          <w:szCs w:val="21"/>
        </w:rPr>
        <w:t>（一）专业毕业要求与培养目标的支撑关系</w:t>
      </w:r>
    </w:p>
    <w:tbl>
      <w:tblPr>
        <w:tblStyle w:val="6"/>
        <w:tblW w:w="4999" w:type="pct"/>
        <w:jc w:val="center"/>
        <w:tblLayout w:type="autofit"/>
        <w:tblCellMar>
          <w:top w:w="0" w:type="dxa"/>
          <w:left w:w="108" w:type="dxa"/>
          <w:bottom w:w="0" w:type="dxa"/>
          <w:right w:w="108" w:type="dxa"/>
        </w:tblCellMar>
      </w:tblPr>
      <w:tblGrid>
        <w:gridCol w:w="1588"/>
        <w:gridCol w:w="1733"/>
        <w:gridCol w:w="1733"/>
        <w:gridCol w:w="1733"/>
        <w:gridCol w:w="1733"/>
      </w:tblGrid>
      <w:tr>
        <w:tblPrEx>
          <w:tblCellMar>
            <w:top w:w="0" w:type="dxa"/>
            <w:left w:w="108" w:type="dxa"/>
            <w:bottom w:w="0" w:type="dxa"/>
            <w:right w:w="108" w:type="dxa"/>
          </w:tblCellMar>
        </w:tblPrEx>
        <w:trPr>
          <w:trHeight w:val="623" w:hRule="atLeast"/>
          <w:jc w:val="center"/>
        </w:trPr>
        <w:tc>
          <w:tcPr>
            <w:tcW w:w="932" w:type="pct"/>
            <w:tcBorders>
              <w:top w:val="single" w:color="auto" w:sz="4" w:space="0"/>
              <w:left w:val="single" w:color="auto" w:sz="4" w:space="0"/>
              <w:bottom w:val="single" w:color="auto" w:sz="4" w:space="0"/>
              <w:right w:val="single" w:color="auto" w:sz="4" w:space="0"/>
            </w:tcBorders>
            <w:noWrap/>
            <w:vAlign w:val="center"/>
          </w:tcPr>
          <w:p>
            <w:pPr>
              <w:widowControl/>
              <w:jc w:val="center"/>
              <w:rPr>
                <w:szCs w:val="21"/>
              </w:rPr>
            </w:pPr>
            <w:r>
              <w:rPr>
                <w:szCs w:val="21"/>
              </w:rPr>
              <w:t>毕业要求</w:t>
            </w:r>
          </w:p>
        </w:tc>
        <w:tc>
          <w:tcPr>
            <w:tcW w:w="1016"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培养目标1</w:t>
            </w:r>
          </w:p>
        </w:tc>
        <w:tc>
          <w:tcPr>
            <w:tcW w:w="1016"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培养目标2</w:t>
            </w:r>
          </w:p>
        </w:tc>
        <w:tc>
          <w:tcPr>
            <w:tcW w:w="1016"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培养目标3</w:t>
            </w:r>
          </w:p>
        </w:tc>
        <w:tc>
          <w:tcPr>
            <w:tcW w:w="1016"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w:t>
            </w:r>
            <w:r>
              <w:rPr>
                <w:rFonts w:hint="eastAsia"/>
                <w:szCs w:val="21"/>
              </w:rPr>
              <w:t>4</w:t>
            </w:r>
          </w:p>
        </w:tc>
      </w:tr>
      <w:tr>
        <w:tblPrEx>
          <w:tblCellMar>
            <w:top w:w="0" w:type="dxa"/>
            <w:left w:w="108" w:type="dxa"/>
            <w:bottom w:w="0" w:type="dxa"/>
            <w:right w:w="108" w:type="dxa"/>
          </w:tblCellMar>
        </w:tblPrEx>
        <w:trPr>
          <w:trHeight w:val="454" w:hRule="exact"/>
          <w:jc w:val="center"/>
        </w:trPr>
        <w:tc>
          <w:tcPr>
            <w:tcW w:w="932"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毕业要求1</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932"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毕业要求2</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r>
      <w:tr>
        <w:tblPrEx>
          <w:tblCellMar>
            <w:top w:w="0" w:type="dxa"/>
            <w:left w:w="108" w:type="dxa"/>
            <w:bottom w:w="0" w:type="dxa"/>
            <w:right w:w="108" w:type="dxa"/>
          </w:tblCellMar>
        </w:tblPrEx>
        <w:trPr>
          <w:trHeight w:val="454" w:hRule="exact"/>
          <w:jc w:val="center"/>
        </w:trPr>
        <w:tc>
          <w:tcPr>
            <w:tcW w:w="932"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毕业要求3</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r>
      <w:tr>
        <w:tblPrEx>
          <w:tblCellMar>
            <w:top w:w="0" w:type="dxa"/>
            <w:left w:w="108" w:type="dxa"/>
            <w:bottom w:w="0" w:type="dxa"/>
            <w:right w:w="108" w:type="dxa"/>
          </w:tblCellMar>
        </w:tblPrEx>
        <w:trPr>
          <w:trHeight w:val="454" w:hRule="exact"/>
          <w:jc w:val="center"/>
        </w:trPr>
        <w:tc>
          <w:tcPr>
            <w:tcW w:w="932" w:type="pct"/>
            <w:tcBorders>
              <w:top w:val="single" w:color="auto" w:sz="4" w:space="0"/>
              <w:left w:val="single" w:color="auto" w:sz="4" w:space="0"/>
              <w:bottom w:val="single" w:color="auto" w:sz="4" w:space="0"/>
              <w:right w:val="single" w:color="auto" w:sz="4" w:space="0"/>
            </w:tcBorders>
          </w:tcPr>
          <w:p>
            <w:pPr>
              <w:widowControl/>
              <w:jc w:val="center"/>
              <w:rPr>
                <w:szCs w:val="21"/>
              </w:rPr>
            </w:pPr>
            <w:r>
              <w:rPr>
                <w:szCs w:val="21"/>
              </w:rPr>
              <w:t>毕业要求4</w:t>
            </w:r>
          </w:p>
        </w:tc>
        <w:tc>
          <w:tcPr>
            <w:tcW w:w="1016" w:type="pct"/>
            <w:tcBorders>
              <w:top w:val="single" w:color="auto" w:sz="4" w:space="0"/>
              <w:left w:val="nil"/>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nil"/>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single" w:color="auto" w:sz="4" w:space="0"/>
              <w:left w:val="nil"/>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nil"/>
              <w:bottom w:val="single" w:color="auto" w:sz="4" w:space="0"/>
              <w:right w:val="single" w:color="auto" w:sz="4" w:space="0"/>
            </w:tcBorders>
            <w:noWrap/>
            <w:vAlign w:val="center"/>
          </w:tcPr>
          <w:p>
            <w:pPr>
              <w:widowControl/>
              <w:jc w:val="center"/>
              <w:rPr>
                <w:b/>
                <w:szCs w:val="21"/>
              </w:rPr>
            </w:pPr>
            <w:r>
              <w:rPr>
                <w:szCs w:val="21"/>
              </w:rPr>
              <w:t>√</w:t>
            </w:r>
          </w:p>
        </w:tc>
      </w:tr>
      <w:tr>
        <w:tblPrEx>
          <w:tblCellMar>
            <w:top w:w="0" w:type="dxa"/>
            <w:left w:w="108" w:type="dxa"/>
            <w:bottom w:w="0" w:type="dxa"/>
            <w:right w:w="108" w:type="dxa"/>
          </w:tblCellMar>
        </w:tblPrEx>
        <w:trPr>
          <w:trHeight w:val="454" w:hRule="exact"/>
          <w:jc w:val="center"/>
        </w:trPr>
        <w:tc>
          <w:tcPr>
            <w:tcW w:w="932" w:type="pct"/>
            <w:tcBorders>
              <w:top w:val="single" w:color="auto" w:sz="4" w:space="0"/>
              <w:left w:val="single" w:color="auto" w:sz="4" w:space="0"/>
              <w:bottom w:val="single" w:color="auto" w:sz="4" w:space="0"/>
              <w:right w:val="single" w:color="auto" w:sz="4" w:space="0"/>
            </w:tcBorders>
          </w:tcPr>
          <w:p>
            <w:pPr>
              <w:widowControl/>
              <w:jc w:val="center"/>
              <w:rPr>
                <w:szCs w:val="21"/>
              </w:rPr>
            </w:pPr>
            <w:r>
              <w:rPr>
                <w:szCs w:val="21"/>
              </w:rPr>
              <w:t>毕业要求5</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r>
      <w:tr>
        <w:tblPrEx>
          <w:tblCellMar>
            <w:top w:w="0" w:type="dxa"/>
            <w:left w:w="108" w:type="dxa"/>
            <w:bottom w:w="0" w:type="dxa"/>
            <w:right w:w="108" w:type="dxa"/>
          </w:tblCellMar>
        </w:tblPrEx>
        <w:trPr>
          <w:trHeight w:val="454" w:hRule="exact"/>
          <w:jc w:val="center"/>
        </w:trPr>
        <w:tc>
          <w:tcPr>
            <w:tcW w:w="932"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毕业要求6</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932"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毕业要求7</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932"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毕业要求8</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r>
      <w:tr>
        <w:tblPrEx>
          <w:tblCellMar>
            <w:top w:w="0" w:type="dxa"/>
            <w:left w:w="108" w:type="dxa"/>
            <w:bottom w:w="0" w:type="dxa"/>
            <w:right w:w="108" w:type="dxa"/>
          </w:tblCellMar>
        </w:tblPrEx>
        <w:trPr>
          <w:trHeight w:val="454" w:hRule="exact"/>
          <w:jc w:val="center"/>
        </w:trPr>
        <w:tc>
          <w:tcPr>
            <w:tcW w:w="932"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毕业要求9</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c>
          <w:tcPr>
            <w:tcW w:w="1016"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932"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毕业要求10</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932"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毕业要求11</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szCs w:val="21"/>
              </w:rPr>
            </w:pPr>
          </w:p>
        </w:tc>
      </w:tr>
      <w:tr>
        <w:tblPrEx>
          <w:tblCellMar>
            <w:top w:w="0" w:type="dxa"/>
            <w:left w:w="108" w:type="dxa"/>
            <w:bottom w:w="0" w:type="dxa"/>
            <w:right w:w="108" w:type="dxa"/>
          </w:tblCellMar>
        </w:tblPrEx>
        <w:trPr>
          <w:trHeight w:val="454" w:hRule="exact"/>
          <w:jc w:val="center"/>
        </w:trPr>
        <w:tc>
          <w:tcPr>
            <w:tcW w:w="932"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毕业要求12</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szCs w:val="21"/>
              </w:rPr>
            </w:pPr>
          </w:p>
        </w:tc>
      </w:tr>
      <w:tr>
        <w:tblPrEx>
          <w:tblCellMar>
            <w:top w:w="0" w:type="dxa"/>
            <w:left w:w="108" w:type="dxa"/>
            <w:bottom w:w="0" w:type="dxa"/>
            <w:right w:w="108" w:type="dxa"/>
          </w:tblCellMar>
        </w:tblPrEx>
        <w:trPr>
          <w:trHeight w:val="454" w:hRule="exact"/>
          <w:jc w:val="center"/>
        </w:trPr>
        <w:tc>
          <w:tcPr>
            <w:tcW w:w="932"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毕业要求13</w:t>
            </w: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widowControl/>
              <w:jc w:val="center"/>
              <w:rPr>
                <w:szCs w:val="21"/>
              </w:rPr>
            </w:pPr>
            <w:r>
              <w:rPr>
                <w:szCs w:val="21"/>
              </w:rPr>
              <w:t>√</w:t>
            </w:r>
          </w:p>
        </w:tc>
      </w:tr>
    </w:tbl>
    <w:p>
      <w:pPr>
        <w:widowControl/>
        <w:ind w:firstLine="630" w:firstLineChars="300"/>
        <w:rPr>
          <w:szCs w:val="21"/>
        </w:rPr>
      </w:pPr>
      <w:r>
        <w:rPr>
          <w:rFonts w:hint="eastAsia"/>
          <w:szCs w:val="21"/>
        </w:rPr>
        <w:t>注：在有对应关系的框内填“√”</w:t>
      </w:r>
    </w:p>
    <w:p>
      <w:pPr>
        <w:rPr>
          <w:rFonts w:ascii="黑体" w:hAnsi="黑体" w:eastAsia="黑体" w:cs="黑体"/>
          <w:b/>
          <w:bCs/>
          <w:szCs w:val="21"/>
        </w:rPr>
      </w:pPr>
    </w:p>
    <w:p>
      <w:pPr>
        <w:adjustRightInd w:val="0"/>
        <w:snapToGrid w:val="0"/>
        <w:spacing w:line="240" w:lineRule="auto"/>
        <w:rPr>
          <w:rFonts w:ascii="黑体" w:hAnsi="黑体" w:eastAsia="黑体" w:cs="黑体"/>
          <w:bCs/>
          <w:szCs w:val="21"/>
        </w:rPr>
      </w:pPr>
      <w:r>
        <w:rPr>
          <w:rFonts w:hint="eastAsia" w:ascii="黑体" w:hAnsi="黑体" w:eastAsia="黑体" w:cs="黑体"/>
          <w:bCs/>
          <w:szCs w:val="21"/>
        </w:rPr>
        <w:t>（二）专业所设课程对毕业要求的支撑矩阵图</w:t>
      </w:r>
    </w:p>
    <w:tbl>
      <w:tblPr>
        <w:tblStyle w:val="7"/>
        <w:tblpPr w:leftFromText="180" w:rightFromText="180" w:vertAnchor="text" w:horzAnchor="page" w:tblpX="1807" w:tblpY="441"/>
        <w:tblOverlap w:val="never"/>
        <w:tblW w:w="508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9"/>
        <w:gridCol w:w="463"/>
        <w:gridCol w:w="519"/>
        <w:gridCol w:w="644"/>
        <w:gridCol w:w="489"/>
        <w:gridCol w:w="550"/>
        <w:gridCol w:w="496"/>
        <w:gridCol w:w="656"/>
        <w:gridCol w:w="571"/>
        <w:gridCol w:w="507"/>
        <w:gridCol w:w="531"/>
        <w:gridCol w:w="562"/>
        <w:gridCol w:w="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6" w:hRule="atLeast"/>
          <w:tblHeader/>
        </w:trPr>
        <w:tc>
          <w:tcPr>
            <w:tcW w:w="1215" w:type="pct"/>
            <w:tcBorders>
              <w:top w:val="single" w:color="auto" w:sz="6" w:space="0"/>
              <w:left w:val="single" w:color="auto" w:sz="6" w:space="0"/>
              <w:bottom w:val="single" w:color="auto" w:sz="6" w:space="0"/>
              <w:right w:val="single" w:color="auto" w:sz="6" w:space="0"/>
            </w:tcBorders>
          </w:tcPr>
          <w:p>
            <w:pPr>
              <w:jc w:val="center"/>
              <w:rPr>
                <w:rFonts w:hint="eastAsia" w:ascii="宋体" w:hAnsi="宋体" w:eastAsia="宋体" w:cs="宋体"/>
                <w:sz w:val="21"/>
                <w:szCs w:val="21"/>
                <w:lang w:val="en-US" w:eastAsia="zh-CN"/>
              </w:rPr>
            </w:pPr>
          </w:p>
          <w:p>
            <w:pPr>
              <w:jc w:val="center"/>
              <w:rPr>
                <w:rFonts w:hint="eastAsia" w:ascii="宋体" w:hAnsi="宋体" w:eastAsia="宋体" w:cs="宋体"/>
                <w:sz w:val="21"/>
                <w:szCs w:val="21"/>
                <w:lang w:val="en-US" w:eastAsia="zh-CN"/>
              </w:rPr>
            </w:pPr>
          </w:p>
          <w:p>
            <w:pPr>
              <w:jc w:val="center"/>
              <w:rPr>
                <w:rFonts w:hint="eastAsia" w:ascii="宋体" w:hAnsi="宋体" w:eastAsia="宋体" w:cs="宋体"/>
                <w:sz w:val="21"/>
                <w:szCs w:val="21"/>
                <w:lang w:val="en-US" w:eastAsia="zh-CN"/>
              </w:rPr>
            </w:pPr>
          </w:p>
          <w:p>
            <w:pPr>
              <w:jc w:val="center"/>
              <w:rPr>
                <w:rFonts w:hint="eastAsia" w:ascii="宋体" w:hAnsi="宋体" w:eastAsia="宋体" w:cs="宋体"/>
                <w:sz w:val="21"/>
                <w:szCs w:val="21"/>
                <w:lang w:val="en-US" w:eastAsia="zh-CN"/>
              </w:rPr>
            </w:pPr>
          </w:p>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课程名称</w:t>
            </w:r>
          </w:p>
        </w:tc>
        <w:tc>
          <w:tcPr>
            <w:tcW w:w="267"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1.工程</w:t>
            </w:r>
          </w:p>
          <w:p>
            <w:pPr>
              <w:snapToGrid w:val="0"/>
              <w:jc w:val="center"/>
              <w:rPr>
                <w:rFonts w:hint="eastAsia" w:ascii="宋体" w:hAnsi="宋体" w:eastAsia="宋体" w:cs="宋体"/>
                <w:sz w:val="21"/>
                <w:szCs w:val="21"/>
              </w:rPr>
            </w:pPr>
            <w:r>
              <w:rPr>
                <w:rFonts w:hint="eastAsia" w:ascii="宋体" w:hAnsi="宋体" w:eastAsia="宋体" w:cs="宋体"/>
                <w:sz w:val="21"/>
                <w:szCs w:val="21"/>
              </w:rPr>
              <w:t>知识</w:t>
            </w:r>
          </w:p>
        </w:tc>
        <w:tc>
          <w:tcPr>
            <w:tcW w:w="299"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2.问题</w:t>
            </w:r>
          </w:p>
          <w:p>
            <w:pPr>
              <w:snapToGrid w:val="0"/>
              <w:jc w:val="center"/>
              <w:rPr>
                <w:rFonts w:hint="eastAsia" w:ascii="宋体" w:hAnsi="宋体" w:eastAsia="宋体" w:cs="宋体"/>
                <w:sz w:val="21"/>
                <w:szCs w:val="21"/>
              </w:rPr>
            </w:pPr>
            <w:r>
              <w:rPr>
                <w:rFonts w:hint="eastAsia" w:ascii="宋体" w:hAnsi="宋体" w:eastAsia="宋体" w:cs="宋体"/>
                <w:sz w:val="21"/>
                <w:szCs w:val="21"/>
              </w:rPr>
              <w:t>分析</w:t>
            </w:r>
          </w:p>
        </w:tc>
        <w:tc>
          <w:tcPr>
            <w:tcW w:w="371"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3.设计/开发解决方案</w:t>
            </w:r>
          </w:p>
        </w:tc>
        <w:tc>
          <w:tcPr>
            <w:tcW w:w="282"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4.研究</w:t>
            </w:r>
          </w:p>
        </w:tc>
        <w:tc>
          <w:tcPr>
            <w:tcW w:w="317"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5.使用现代 工具</w:t>
            </w:r>
          </w:p>
        </w:tc>
        <w:tc>
          <w:tcPr>
            <w:tcW w:w="286"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6.工程与</w:t>
            </w:r>
          </w:p>
          <w:p>
            <w:pPr>
              <w:snapToGrid w:val="0"/>
              <w:jc w:val="center"/>
              <w:rPr>
                <w:rFonts w:hint="eastAsia" w:ascii="宋体" w:hAnsi="宋体" w:eastAsia="宋体" w:cs="宋体"/>
                <w:sz w:val="21"/>
                <w:szCs w:val="21"/>
              </w:rPr>
            </w:pPr>
            <w:r>
              <w:rPr>
                <w:rFonts w:hint="eastAsia" w:ascii="宋体" w:hAnsi="宋体" w:eastAsia="宋体" w:cs="宋体"/>
                <w:sz w:val="21"/>
                <w:szCs w:val="21"/>
              </w:rPr>
              <w:t>社会</w:t>
            </w:r>
          </w:p>
        </w:tc>
        <w:tc>
          <w:tcPr>
            <w:tcW w:w="378"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7.环境与可持续发展</w:t>
            </w:r>
          </w:p>
        </w:tc>
        <w:tc>
          <w:tcPr>
            <w:tcW w:w="329"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8.职业</w:t>
            </w:r>
          </w:p>
          <w:p>
            <w:pPr>
              <w:snapToGrid w:val="0"/>
              <w:jc w:val="center"/>
              <w:rPr>
                <w:rFonts w:hint="eastAsia" w:ascii="宋体" w:hAnsi="宋体" w:eastAsia="宋体" w:cs="宋体"/>
                <w:sz w:val="21"/>
                <w:szCs w:val="21"/>
              </w:rPr>
            </w:pPr>
            <w:r>
              <w:rPr>
                <w:rFonts w:hint="eastAsia" w:ascii="宋体" w:hAnsi="宋体" w:eastAsia="宋体" w:cs="宋体"/>
                <w:sz w:val="21"/>
                <w:szCs w:val="21"/>
              </w:rPr>
              <w:t>规范</w:t>
            </w:r>
          </w:p>
        </w:tc>
        <w:tc>
          <w:tcPr>
            <w:tcW w:w="292"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9.个人和</w:t>
            </w:r>
          </w:p>
          <w:p>
            <w:pPr>
              <w:snapToGrid w:val="0"/>
              <w:jc w:val="center"/>
              <w:rPr>
                <w:rFonts w:hint="eastAsia" w:ascii="宋体" w:hAnsi="宋体" w:eastAsia="宋体" w:cs="宋体"/>
                <w:sz w:val="21"/>
                <w:szCs w:val="21"/>
              </w:rPr>
            </w:pPr>
            <w:r>
              <w:rPr>
                <w:rFonts w:hint="eastAsia" w:ascii="宋体" w:hAnsi="宋体" w:eastAsia="宋体" w:cs="宋体"/>
                <w:sz w:val="21"/>
                <w:szCs w:val="21"/>
              </w:rPr>
              <w:t>团队</w:t>
            </w:r>
          </w:p>
        </w:tc>
        <w:tc>
          <w:tcPr>
            <w:tcW w:w="306"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10.沟通</w:t>
            </w:r>
          </w:p>
        </w:tc>
        <w:tc>
          <w:tcPr>
            <w:tcW w:w="323"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11.项目</w:t>
            </w:r>
          </w:p>
          <w:p>
            <w:pPr>
              <w:snapToGrid w:val="0"/>
              <w:jc w:val="center"/>
              <w:rPr>
                <w:rFonts w:hint="eastAsia" w:ascii="宋体" w:hAnsi="宋体" w:eastAsia="宋体" w:cs="宋体"/>
                <w:sz w:val="21"/>
                <w:szCs w:val="21"/>
              </w:rPr>
            </w:pPr>
            <w:r>
              <w:rPr>
                <w:rFonts w:hint="eastAsia" w:ascii="宋体" w:hAnsi="宋体" w:eastAsia="宋体" w:cs="宋体"/>
                <w:sz w:val="21"/>
                <w:szCs w:val="21"/>
              </w:rPr>
              <w:t>管理</w:t>
            </w:r>
          </w:p>
        </w:tc>
        <w:tc>
          <w:tcPr>
            <w:tcW w:w="329" w:type="pct"/>
            <w:tcBorders>
              <w:top w:val="single" w:color="auto" w:sz="6" w:space="0"/>
              <w:left w:val="single" w:color="auto" w:sz="6" w:space="0"/>
              <w:bottom w:val="single" w:color="auto" w:sz="6" w:space="0"/>
              <w:right w:val="single" w:color="auto" w:sz="6" w:space="0"/>
            </w:tcBorders>
            <w:vAlign w:val="center"/>
          </w:tcPr>
          <w:p>
            <w:pPr>
              <w:snapToGrid w:val="0"/>
              <w:jc w:val="center"/>
              <w:rPr>
                <w:rFonts w:hint="eastAsia" w:ascii="宋体" w:hAnsi="宋体" w:eastAsia="宋体" w:cs="宋体"/>
                <w:sz w:val="21"/>
                <w:szCs w:val="21"/>
              </w:rPr>
            </w:pPr>
            <w:r>
              <w:rPr>
                <w:rFonts w:hint="eastAsia" w:ascii="宋体" w:hAnsi="宋体" w:eastAsia="宋体" w:cs="宋体"/>
                <w:sz w:val="21"/>
                <w:szCs w:val="21"/>
              </w:rPr>
              <w:t>12.终身</w:t>
            </w:r>
          </w:p>
          <w:p>
            <w:pPr>
              <w:snapToGrid w:val="0"/>
              <w:jc w:val="center"/>
              <w:rPr>
                <w:rFonts w:hint="eastAsia" w:ascii="宋体" w:hAnsi="宋体" w:eastAsia="宋体" w:cs="宋体"/>
                <w:sz w:val="21"/>
                <w:szCs w:val="21"/>
              </w:rPr>
            </w:pPr>
            <w:r>
              <w:rPr>
                <w:rFonts w:hint="eastAsia" w:ascii="宋体" w:hAnsi="宋体" w:eastAsia="宋体" w:cs="宋体"/>
                <w:sz w:val="21"/>
                <w:szCs w:val="21"/>
              </w:rPr>
              <w:t>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15" w:type="pct"/>
            <w:tcBorders>
              <w:top w:val="single" w:color="auto" w:sz="6" w:space="0"/>
            </w:tcBorders>
          </w:tcPr>
          <w:p>
            <w:pPr>
              <w:jc w:val="left"/>
              <w:rPr>
                <w:rFonts w:hint="eastAsia" w:ascii="宋体" w:hAnsi="宋体" w:eastAsia="宋体" w:cs="宋体"/>
                <w:sz w:val="21"/>
                <w:szCs w:val="21"/>
              </w:rPr>
            </w:pPr>
            <w:r>
              <w:rPr>
                <w:rFonts w:hint="eastAsia" w:ascii="宋体" w:hAnsi="宋体" w:eastAsia="宋体" w:cs="宋体"/>
                <w:sz w:val="21"/>
                <w:szCs w:val="21"/>
              </w:rPr>
              <w:t>思想道德与法治</w:t>
            </w:r>
          </w:p>
        </w:tc>
        <w:tc>
          <w:tcPr>
            <w:tcW w:w="267" w:type="pct"/>
            <w:tcBorders>
              <w:top w:val="single" w:color="auto" w:sz="6" w:space="0"/>
            </w:tcBorders>
            <w:vAlign w:val="center"/>
          </w:tcPr>
          <w:p>
            <w:pPr>
              <w:jc w:val="center"/>
              <w:rPr>
                <w:rFonts w:hint="eastAsia" w:ascii="宋体" w:hAnsi="宋体" w:eastAsia="宋体" w:cs="宋体"/>
                <w:sz w:val="21"/>
                <w:szCs w:val="21"/>
              </w:rPr>
            </w:pPr>
          </w:p>
        </w:tc>
        <w:tc>
          <w:tcPr>
            <w:tcW w:w="299" w:type="pct"/>
            <w:tcBorders>
              <w:top w:val="single" w:color="auto" w:sz="6" w:space="0"/>
            </w:tcBorders>
            <w:vAlign w:val="center"/>
          </w:tcPr>
          <w:p>
            <w:pPr>
              <w:jc w:val="center"/>
              <w:rPr>
                <w:rFonts w:hint="eastAsia" w:ascii="宋体" w:hAnsi="宋体" w:eastAsia="宋体" w:cs="宋体"/>
                <w:sz w:val="21"/>
                <w:szCs w:val="21"/>
              </w:rPr>
            </w:pPr>
          </w:p>
        </w:tc>
        <w:tc>
          <w:tcPr>
            <w:tcW w:w="371" w:type="pct"/>
            <w:tcBorders>
              <w:top w:val="single" w:color="auto" w:sz="6" w:space="0"/>
            </w:tcBorders>
            <w:vAlign w:val="center"/>
          </w:tcPr>
          <w:p>
            <w:pPr>
              <w:jc w:val="center"/>
              <w:rPr>
                <w:rFonts w:hint="eastAsia" w:ascii="宋体" w:hAnsi="宋体" w:eastAsia="宋体" w:cs="宋体"/>
                <w:sz w:val="21"/>
                <w:szCs w:val="21"/>
              </w:rPr>
            </w:pPr>
          </w:p>
        </w:tc>
        <w:tc>
          <w:tcPr>
            <w:tcW w:w="282" w:type="pct"/>
            <w:tcBorders>
              <w:top w:val="single" w:color="auto" w:sz="6" w:space="0"/>
            </w:tcBorders>
            <w:vAlign w:val="center"/>
          </w:tcPr>
          <w:p>
            <w:pPr>
              <w:jc w:val="center"/>
              <w:rPr>
                <w:rFonts w:hint="eastAsia" w:ascii="宋体" w:hAnsi="宋体" w:eastAsia="宋体" w:cs="宋体"/>
                <w:sz w:val="21"/>
                <w:szCs w:val="21"/>
              </w:rPr>
            </w:pPr>
          </w:p>
        </w:tc>
        <w:tc>
          <w:tcPr>
            <w:tcW w:w="317" w:type="pct"/>
            <w:tcBorders>
              <w:top w:val="single" w:color="auto" w:sz="6" w:space="0"/>
            </w:tcBorders>
            <w:vAlign w:val="center"/>
          </w:tcPr>
          <w:p>
            <w:pPr>
              <w:jc w:val="center"/>
              <w:rPr>
                <w:rFonts w:hint="eastAsia" w:ascii="宋体" w:hAnsi="宋体" w:eastAsia="宋体" w:cs="宋体"/>
                <w:sz w:val="21"/>
                <w:szCs w:val="21"/>
              </w:rPr>
            </w:pPr>
          </w:p>
        </w:tc>
        <w:tc>
          <w:tcPr>
            <w:tcW w:w="286" w:type="pct"/>
            <w:tcBorders>
              <w:top w:val="single" w:color="auto" w:sz="6"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8" w:type="pct"/>
            <w:tcBorders>
              <w:top w:val="single" w:color="auto" w:sz="6" w:space="0"/>
            </w:tcBorders>
            <w:vAlign w:val="center"/>
          </w:tcPr>
          <w:p>
            <w:pPr>
              <w:jc w:val="center"/>
              <w:rPr>
                <w:rFonts w:hint="eastAsia" w:ascii="宋体" w:hAnsi="宋体" w:eastAsia="宋体" w:cs="宋体"/>
                <w:sz w:val="21"/>
                <w:szCs w:val="21"/>
              </w:rPr>
            </w:pPr>
          </w:p>
        </w:tc>
        <w:tc>
          <w:tcPr>
            <w:tcW w:w="329" w:type="pct"/>
            <w:tcBorders>
              <w:top w:val="single" w:color="auto" w:sz="6"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2" w:type="pct"/>
            <w:tcBorders>
              <w:top w:val="single" w:color="auto" w:sz="6" w:space="0"/>
            </w:tcBorders>
            <w:vAlign w:val="center"/>
          </w:tcPr>
          <w:p>
            <w:pPr>
              <w:jc w:val="center"/>
              <w:rPr>
                <w:rFonts w:hint="eastAsia" w:ascii="宋体" w:hAnsi="宋体" w:eastAsia="宋体" w:cs="宋体"/>
                <w:sz w:val="21"/>
                <w:szCs w:val="21"/>
              </w:rPr>
            </w:pPr>
          </w:p>
        </w:tc>
        <w:tc>
          <w:tcPr>
            <w:tcW w:w="306" w:type="pct"/>
            <w:tcBorders>
              <w:top w:val="single" w:color="auto" w:sz="6" w:space="0"/>
            </w:tcBorders>
            <w:vAlign w:val="center"/>
          </w:tcPr>
          <w:p>
            <w:pPr>
              <w:jc w:val="center"/>
              <w:rPr>
                <w:rFonts w:hint="eastAsia" w:ascii="宋体" w:hAnsi="宋体" w:eastAsia="宋体" w:cs="宋体"/>
                <w:sz w:val="21"/>
                <w:szCs w:val="21"/>
              </w:rPr>
            </w:pPr>
          </w:p>
        </w:tc>
        <w:tc>
          <w:tcPr>
            <w:tcW w:w="323" w:type="pct"/>
            <w:tcBorders>
              <w:top w:val="single" w:color="auto" w:sz="6" w:space="0"/>
            </w:tcBorders>
            <w:vAlign w:val="center"/>
          </w:tcPr>
          <w:p>
            <w:pPr>
              <w:jc w:val="center"/>
              <w:rPr>
                <w:rFonts w:hint="eastAsia" w:ascii="宋体" w:hAnsi="宋体" w:eastAsia="宋体" w:cs="宋体"/>
                <w:sz w:val="21"/>
                <w:szCs w:val="21"/>
              </w:rPr>
            </w:pPr>
          </w:p>
        </w:tc>
        <w:tc>
          <w:tcPr>
            <w:tcW w:w="329" w:type="pct"/>
            <w:tcBorders>
              <w:top w:val="single" w:color="auto" w:sz="6" w:space="0"/>
            </w:tcBorders>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中国近现代史纲要</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215" w:type="pct"/>
            <w:vAlign w:val="center"/>
          </w:tcPr>
          <w:p>
            <w:pPr>
              <w:jc w:val="left"/>
              <w:rPr>
                <w:rFonts w:hint="eastAsia" w:ascii="宋体" w:hAnsi="宋体" w:eastAsia="宋体" w:cs="宋体"/>
                <w:sz w:val="21"/>
                <w:szCs w:val="21"/>
              </w:rPr>
            </w:pPr>
            <w:r>
              <w:rPr>
                <w:rFonts w:hint="eastAsia" w:ascii="宋体" w:hAnsi="宋体" w:cs="Arial"/>
                <w:kern w:val="0"/>
              </w:rPr>
              <w:t>习近平新时代中国特色社会主义思想概论</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bookmarkStart w:id="0" w:name="_GoBack"/>
            <w:bookmarkEnd w:id="0"/>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M</w:t>
            </w: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M</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毛泽东思想和中国特色社会主义理论体系概论</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马克思主义基本原理</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形势与政策(1)(2)(3)</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大学英语(1)(2)</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学术英语课程</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能源电力英语</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C语言程序设计A</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计算机科学概论1</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大学体育课程</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大学生入学教育与生涯规划</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大学生心理健康</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军事理论</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创新创业基础</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大学生就业与创业实务</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能源中国</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丝路之光</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能源电力概论系列课程</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高等数学A(1)</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线性代数B</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离散数学</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高等数学A(2)</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大学物理B(1)</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物理实验(1)</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大学物理B(2)</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物理实验(2)</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概率论与数理统计</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面向对象程序设计(C++)</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算法与数据结构(C++)</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通信基础</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计算机组成原理</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信息安全技术</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数据库原理</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操作系统原理</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计算机网络工程</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计算机网络</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网络路由与交换</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网络协议分析与编程</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计算机网络安全</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编译原理</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机器学习导论</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区块链技术</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网络数据分析（Python）</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LINUX操作系统</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MATLAB程序设计与应用</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Web安全与防护</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Python安全编程</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物联网技术</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认证网络工程师</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防火墙与VPN</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IPv6概要</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无线网络技术与应用</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bottom"/>
          </w:tcPr>
          <w:p>
            <w:pPr>
              <w:jc w:val="left"/>
              <w:rPr>
                <w:rFonts w:hint="eastAsia" w:ascii="宋体" w:hAnsi="宋体" w:eastAsia="宋体" w:cs="宋体"/>
                <w:sz w:val="21"/>
                <w:szCs w:val="21"/>
              </w:rPr>
            </w:pPr>
            <w:r>
              <w:rPr>
                <w:rFonts w:hint="eastAsia" w:ascii="宋体" w:hAnsi="宋体" w:eastAsia="宋体" w:cs="宋体"/>
                <w:sz w:val="21"/>
                <w:szCs w:val="21"/>
              </w:rPr>
              <w:t>软件定义网络</w:t>
            </w:r>
          </w:p>
        </w:tc>
        <w:tc>
          <w:tcPr>
            <w:tcW w:w="26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军事技能</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9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0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工程实训</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高级语言程序设计课程设计</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认识实习</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数据结构课程设计</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数据库应用课程设计</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计算机网络课程设计</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网络编程课程设计</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操作系统课程设计</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cs="宋体"/>
                <w:sz w:val="21"/>
                <w:szCs w:val="21"/>
                <w:lang w:val="en-US" w:eastAsia="zh-CN"/>
              </w:rPr>
              <w:t>计算机</w:t>
            </w:r>
            <w:r>
              <w:rPr>
                <w:rFonts w:hint="eastAsia" w:ascii="宋体" w:hAnsi="宋体" w:eastAsia="宋体" w:cs="宋体"/>
                <w:sz w:val="21"/>
                <w:szCs w:val="21"/>
              </w:rPr>
              <w:t>网络安全课程设计</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创新创业训练与实践</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毕业实习</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p>
        </w:tc>
        <w:tc>
          <w:tcPr>
            <w:tcW w:w="371" w:type="pct"/>
            <w:vAlign w:val="center"/>
          </w:tcPr>
          <w:p>
            <w:pPr>
              <w:jc w:val="center"/>
              <w:rPr>
                <w:rFonts w:hint="eastAsia" w:ascii="宋体" w:hAnsi="宋体" w:eastAsia="宋体" w:cs="宋体"/>
                <w:sz w:val="21"/>
                <w:szCs w:val="21"/>
              </w:rPr>
            </w:pPr>
          </w:p>
        </w:tc>
        <w:tc>
          <w:tcPr>
            <w:tcW w:w="282" w:type="pct"/>
            <w:vAlign w:val="center"/>
          </w:tcPr>
          <w:p>
            <w:pPr>
              <w:jc w:val="center"/>
              <w:rPr>
                <w:rFonts w:hint="eastAsia" w:ascii="宋体" w:hAnsi="宋体" w:eastAsia="宋体" w:cs="宋体"/>
                <w:sz w:val="21"/>
                <w:szCs w:val="21"/>
              </w:rPr>
            </w:pP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86" w:type="pct"/>
            <w:vAlign w:val="center"/>
          </w:tcPr>
          <w:p>
            <w:pPr>
              <w:jc w:val="center"/>
              <w:rPr>
                <w:rFonts w:hint="eastAsia" w:ascii="宋体" w:hAnsi="宋体" w:eastAsia="宋体" w:cs="宋体"/>
                <w:sz w:val="21"/>
                <w:szCs w:val="21"/>
              </w:rPr>
            </w:pP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p>
        </w:tc>
        <w:tc>
          <w:tcPr>
            <w:tcW w:w="323"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15" w:type="pct"/>
            <w:vAlign w:val="center"/>
          </w:tcPr>
          <w:p>
            <w:pPr>
              <w:jc w:val="left"/>
              <w:rPr>
                <w:rFonts w:hint="eastAsia" w:ascii="宋体" w:hAnsi="宋体" w:eastAsia="宋体" w:cs="宋体"/>
                <w:sz w:val="21"/>
                <w:szCs w:val="21"/>
              </w:rPr>
            </w:pPr>
            <w:r>
              <w:rPr>
                <w:rFonts w:hint="eastAsia" w:ascii="宋体" w:hAnsi="宋体" w:eastAsia="宋体" w:cs="宋体"/>
                <w:sz w:val="21"/>
                <w:szCs w:val="21"/>
              </w:rPr>
              <w:t>毕业设计（论文）</w:t>
            </w:r>
          </w:p>
        </w:tc>
        <w:tc>
          <w:tcPr>
            <w:tcW w:w="267" w:type="pct"/>
            <w:vAlign w:val="center"/>
          </w:tcPr>
          <w:p>
            <w:pPr>
              <w:jc w:val="center"/>
              <w:rPr>
                <w:rFonts w:hint="eastAsia" w:ascii="宋体" w:hAnsi="宋体" w:eastAsia="宋体" w:cs="宋体"/>
                <w:sz w:val="21"/>
                <w:szCs w:val="21"/>
              </w:rPr>
            </w:pPr>
          </w:p>
        </w:tc>
        <w:tc>
          <w:tcPr>
            <w:tcW w:w="29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71"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2"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17"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28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78" w:type="pct"/>
            <w:vAlign w:val="center"/>
          </w:tcPr>
          <w:p>
            <w:pPr>
              <w:jc w:val="center"/>
              <w:rPr>
                <w:rFonts w:hint="eastAsia" w:ascii="宋体" w:hAnsi="宋体" w:eastAsia="宋体" w:cs="宋体"/>
                <w:sz w:val="21"/>
                <w:szCs w:val="21"/>
              </w:rPr>
            </w:pPr>
          </w:p>
        </w:tc>
        <w:tc>
          <w:tcPr>
            <w:tcW w:w="329" w:type="pct"/>
            <w:vAlign w:val="center"/>
          </w:tcPr>
          <w:p>
            <w:pPr>
              <w:jc w:val="center"/>
              <w:rPr>
                <w:rFonts w:hint="eastAsia" w:ascii="宋体" w:hAnsi="宋体" w:eastAsia="宋体" w:cs="宋体"/>
                <w:sz w:val="21"/>
                <w:szCs w:val="21"/>
              </w:rPr>
            </w:pPr>
          </w:p>
        </w:tc>
        <w:tc>
          <w:tcPr>
            <w:tcW w:w="292" w:type="pct"/>
            <w:vAlign w:val="center"/>
          </w:tcPr>
          <w:p>
            <w:pPr>
              <w:jc w:val="center"/>
              <w:rPr>
                <w:rFonts w:hint="eastAsia" w:ascii="宋体" w:hAnsi="宋体" w:eastAsia="宋体" w:cs="宋体"/>
                <w:sz w:val="21"/>
                <w:szCs w:val="21"/>
              </w:rPr>
            </w:pPr>
          </w:p>
        </w:tc>
        <w:tc>
          <w:tcPr>
            <w:tcW w:w="306"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323"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329" w:type="pct"/>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r>
    </w:tbl>
    <w:p>
      <w:pPr>
        <w:pStyle w:val="16"/>
        <w:spacing w:line="240" w:lineRule="auto"/>
        <w:ind w:firstLine="0" w:firstLineChars="0"/>
        <w:jc w:val="left"/>
        <w:rPr>
          <w:rFonts w:ascii="黑体" w:hAnsi="黑体" w:eastAsia="黑体" w:cs="黑体"/>
          <w:b/>
          <w:bCs/>
          <w:sz w:val="20"/>
          <w:szCs w:val="20"/>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rFonts w:hint="eastAsia"/>
          <w:b/>
          <w:sz w:val="18"/>
          <w:lang w:eastAsia="zh-CN"/>
        </w:rPr>
        <w:t>。</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8F37D3"/>
    <w:multiLevelType w:val="singleLevel"/>
    <w:tmpl w:val="E08F37D3"/>
    <w:lvl w:ilvl="0" w:tentative="0">
      <w:start w:val="1"/>
      <w:numFmt w:val="chineseCounting"/>
      <w:suff w:val="nothing"/>
      <w:lvlText w:val="%1、"/>
      <w:lvlJc w:val="left"/>
      <w:rPr>
        <w:rFonts w:hint="eastAsia"/>
      </w:rPr>
    </w:lvl>
  </w:abstractNum>
  <w:abstractNum w:abstractNumId="1">
    <w:nsid w:val="064666F4"/>
    <w:multiLevelType w:val="multilevel"/>
    <w:tmpl w:val="064666F4"/>
    <w:lvl w:ilvl="0" w:tentative="0">
      <w:start w:val="1"/>
      <w:numFmt w:val="decimal"/>
      <w:lvlText w:val="%1"/>
      <w:lvlJc w:val="left"/>
      <w:pPr>
        <w:ind w:left="425" w:hanging="425"/>
      </w:pPr>
      <w:rPr>
        <w:rFonts w:hint="eastAsia"/>
      </w:rPr>
    </w:lvl>
    <w:lvl w:ilvl="1" w:tentative="0">
      <w:start w:val="1"/>
      <w:numFmt w:val="decimal"/>
      <w:lvlText w:val="3.%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D52435B"/>
    <w:multiLevelType w:val="multilevel"/>
    <w:tmpl w:val="0D52435B"/>
    <w:lvl w:ilvl="0" w:tentative="0">
      <w:start w:val="1"/>
      <w:numFmt w:val="decimal"/>
      <w:lvlText w:val="%1"/>
      <w:lvlJc w:val="left"/>
      <w:pPr>
        <w:ind w:left="425" w:hanging="425"/>
      </w:pPr>
      <w:rPr>
        <w:rFonts w:hint="eastAsia"/>
      </w:rPr>
    </w:lvl>
    <w:lvl w:ilvl="1" w:tentative="0">
      <w:start w:val="1"/>
      <w:numFmt w:val="decimal"/>
      <w:lvlText w:val="4.%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15F046B2"/>
    <w:multiLevelType w:val="multilevel"/>
    <w:tmpl w:val="15F046B2"/>
    <w:lvl w:ilvl="0" w:tentative="0">
      <w:start w:val="1"/>
      <w:numFmt w:val="decimal"/>
      <w:lvlText w:val="%1"/>
      <w:lvlJc w:val="left"/>
      <w:pPr>
        <w:ind w:left="425" w:hanging="425"/>
      </w:pPr>
      <w:rPr>
        <w:rFonts w:hint="eastAsia"/>
      </w:rPr>
    </w:lvl>
    <w:lvl w:ilvl="1" w:tentative="0">
      <w:start w:val="1"/>
      <w:numFmt w:val="decimal"/>
      <w:lvlText w:val="1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168A5CD1"/>
    <w:multiLevelType w:val="multilevel"/>
    <w:tmpl w:val="168A5CD1"/>
    <w:lvl w:ilvl="0" w:tentative="0">
      <w:start w:val="1"/>
      <w:numFmt w:val="decimal"/>
      <w:lvlText w:val="%1"/>
      <w:lvlJc w:val="left"/>
      <w:pPr>
        <w:ind w:left="425" w:hanging="425"/>
      </w:pPr>
      <w:rPr>
        <w:rFonts w:hint="eastAsia"/>
      </w:rPr>
    </w:lvl>
    <w:lvl w:ilvl="1" w:tentative="0">
      <w:start w:val="1"/>
      <w:numFmt w:val="decimal"/>
      <w:lvlText w:val="6.%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18B6221F"/>
    <w:multiLevelType w:val="multilevel"/>
    <w:tmpl w:val="18B6221F"/>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6">
    <w:nsid w:val="191F7FC1"/>
    <w:multiLevelType w:val="multilevel"/>
    <w:tmpl w:val="191F7FC1"/>
    <w:lvl w:ilvl="0" w:tentative="0">
      <w:start w:val="1"/>
      <w:numFmt w:val="decimal"/>
      <w:lvlText w:val="%1"/>
      <w:lvlJc w:val="left"/>
      <w:pPr>
        <w:ind w:left="425" w:hanging="425"/>
      </w:pPr>
      <w:rPr>
        <w:rFonts w:hint="eastAsia"/>
      </w:rPr>
    </w:lvl>
    <w:lvl w:ilvl="1" w:tentative="0">
      <w:start w:val="1"/>
      <w:numFmt w:val="decimal"/>
      <w:lvlText w:val="5.%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2E466225"/>
    <w:multiLevelType w:val="multilevel"/>
    <w:tmpl w:val="2E46622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37115044"/>
    <w:multiLevelType w:val="multilevel"/>
    <w:tmpl w:val="37115044"/>
    <w:lvl w:ilvl="0" w:tentative="0">
      <w:start w:val="1"/>
      <w:numFmt w:val="decimal"/>
      <w:lvlText w:val="%1"/>
      <w:lvlJc w:val="left"/>
      <w:pPr>
        <w:ind w:left="425" w:hanging="425"/>
      </w:pPr>
      <w:rPr>
        <w:rFonts w:hint="eastAsia"/>
      </w:rPr>
    </w:lvl>
    <w:lvl w:ilvl="1" w:tentative="0">
      <w:start w:val="1"/>
      <w:numFmt w:val="decimal"/>
      <w:lvlText w:val="12.%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3C089286"/>
    <w:multiLevelType w:val="singleLevel"/>
    <w:tmpl w:val="3C089286"/>
    <w:lvl w:ilvl="0" w:tentative="0">
      <w:start w:val="10"/>
      <w:numFmt w:val="chineseCounting"/>
      <w:suff w:val="nothing"/>
      <w:lvlText w:val="%1、"/>
      <w:lvlJc w:val="left"/>
      <w:rPr>
        <w:rFonts w:hint="eastAsia"/>
      </w:rPr>
    </w:lvl>
  </w:abstractNum>
  <w:abstractNum w:abstractNumId="10">
    <w:nsid w:val="3ED06616"/>
    <w:multiLevelType w:val="multilevel"/>
    <w:tmpl w:val="3ED06616"/>
    <w:lvl w:ilvl="0" w:tentative="0">
      <w:start w:val="1"/>
      <w:numFmt w:val="decimal"/>
      <w:lvlText w:val="%1"/>
      <w:lvlJc w:val="left"/>
      <w:pPr>
        <w:ind w:left="425" w:hanging="425"/>
      </w:pPr>
      <w:rPr>
        <w:rFonts w:hint="eastAsia"/>
      </w:rPr>
    </w:lvl>
    <w:lvl w:ilvl="1" w:tentative="0">
      <w:start w:val="1"/>
      <w:numFmt w:val="decimal"/>
      <w:lvlText w:val="13.%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1">
    <w:nsid w:val="4BA13550"/>
    <w:multiLevelType w:val="multilevel"/>
    <w:tmpl w:val="4BA13550"/>
    <w:lvl w:ilvl="0" w:tentative="0">
      <w:start w:val="1"/>
      <w:numFmt w:val="decimal"/>
      <w:lvlText w:val="%1"/>
      <w:lvlJc w:val="left"/>
      <w:pPr>
        <w:ind w:left="425" w:hanging="425"/>
      </w:pPr>
      <w:rPr>
        <w:rFonts w:hint="eastAsia"/>
      </w:rPr>
    </w:lvl>
    <w:lvl w:ilvl="1" w:tentative="0">
      <w:start w:val="1"/>
      <w:numFmt w:val="decimal"/>
      <w:lvlText w:val="8.%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4EC240B6"/>
    <w:multiLevelType w:val="multilevel"/>
    <w:tmpl w:val="4EC240B6"/>
    <w:lvl w:ilvl="0" w:tentative="0">
      <w:start w:val="1"/>
      <w:numFmt w:val="decimal"/>
      <w:lvlText w:val="%1"/>
      <w:lvlJc w:val="left"/>
      <w:pPr>
        <w:ind w:left="425" w:hanging="425"/>
      </w:pPr>
      <w:rPr>
        <w:rFonts w:hint="eastAsia"/>
      </w:rPr>
    </w:lvl>
    <w:lvl w:ilvl="1" w:tentative="0">
      <w:start w:val="1"/>
      <w:numFmt w:val="decimal"/>
      <w:lvlText w:val="7.%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545B137F"/>
    <w:multiLevelType w:val="singleLevel"/>
    <w:tmpl w:val="545B137F"/>
    <w:lvl w:ilvl="0" w:tentative="0">
      <w:start w:val="1"/>
      <w:numFmt w:val="decimal"/>
      <w:suff w:val="space"/>
      <w:lvlText w:val="%1."/>
      <w:lvlJc w:val="left"/>
    </w:lvl>
  </w:abstractNum>
  <w:abstractNum w:abstractNumId="14">
    <w:nsid w:val="65507391"/>
    <w:multiLevelType w:val="multilevel"/>
    <w:tmpl w:val="65507391"/>
    <w:lvl w:ilvl="0" w:tentative="0">
      <w:start w:val="1"/>
      <w:numFmt w:val="decimal"/>
      <w:lvlText w:val="%1"/>
      <w:lvlJc w:val="left"/>
      <w:pPr>
        <w:ind w:left="425" w:hanging="425"/>
      </w:pPr>
      <w:rPr>
        <w:rFonts w:hint="eastAsia"/>
      </w:rPr>
    </w:lvl>
    <w:lvl w:ilvl="1" w:tentative="0">
      <w:start w:val="1"/>
      <w:numFmt w:val="decimal"/>
      <w:lvlText w:val="10.%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6B79526E"/>
    <w:multiLevelType w:val="multilevel"/>
    <w:tmpl w:val="6B79526E"/>
    <w:lvl w:ilvl="0" w:tentative="0">
      <w:start w:val="1"/>
      <w:numFmt w:val="decimal"/>
      <w:lvlText w:val="%1"/>
      <w:lvlJc w:val="left"/>
      <w:pPr>
        <w:ind w:left="425" w:hanging="425"/>
      </w:pPr>
      <w:rPr>
        <w:rFonts w:hint="eastAsia"/>
      </w:rPr>
    </w:lvl>
    <w:lvl w:ilvl="1" w:tentative="0">
      <w:start w:val="1"/>
      <w:numFmt w:val="decimal"/>
      <w:lvlText w:val="2.%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6D053A2F"/>
    <w:multiLevelType w:val="multilevel"/>
    <w:tmpl w:val="6D053A2F"/>
    <w:lvl w:ilvl="0" w:tentative="0">
      <w:start w:val="1"/>
      <w:numFmt w:val="decimal"/>
      <w:lvlText w:val="%1"/>
      <w:lvlJc w:val="left"/>
      <w:pPr>
        <w:ind w:left="425" w:hanging="425"/>
      </w:pPr>
      <w:rPr>
        <w:rFonts w:hint="eastAsia"/>
      </w:rPr>
    </w:lvl>
    <w:lvl w:ilvl="1" w:tentative="0">
      <w:start w:val="1"/>
      <w:numFmt w:val="decimal"/>
      <w:lvlText w:val="9.%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 w:numId="2">
    <w:abstractNumId w:val="7"/>
  </w:num>
  <w:num w:numId="3">
    <w:abstractNumId w:val="13"/>
  </w:num>
  <w:num w:numId="4">
    <w:abstractNumId w:val="5"/>
  </w:num>
  <w:num w:numId="5">
    <w:abstractNumId w:val="15"/>
  </w:num>
  <w:num w:numId="6">
    <w:abstractNumId w:val="1"/>
  </w:num>
  <w:num w:numId="7">
    <w:abstractNumId w:val="2"/>
  </w:num>
  <w:num w:numId="8">
    <w:abstractNumId w:val="6"/>
  </w:num>
  <w:num w:numId="9">
    <w:abstractNumId w:val="4"/>
  </w:num>
  <w:num w:numId="10">
    <w:abstractNumId w:val="12"/>
  </w:num>
  <w:num w:numId="11">
    <w:abstractNumId w:val="11"/>
  </w:num>
  <w:num w:numId="12">
    <w:abstractNumId w:val="16"/>
  </w:num>
  <w:num w:numId="13">
    <w:abstractNumId w:val="14"/>
  </w:num>
  <w:num w:numId="14">
    <w:abstractNumId w:val="3"/>
  </w:num>
  <w:num w:numId="15">
    <w:abstractNumId w:val="8"/>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Y1YjdmYzVlOGExMzJlM2FiNTkzYjI1NzBhNTA1OGQifQ=="/>
  </w:docVars>
  <w:rsids>
    <w:rsidRoot w:val="00172A27"/>
    <w:rsid w:val="00020FF7"/>
    <w:rsid w:val="00022037"/>
    <w:rsid w:val="0002383E"/>
    <w:rsid w:val="00030A65"/>
    <w:rsid w:val="00043B8F"/>
    <w:rsid w:val="00080C39"/>
    <w:rsid w:val="000E2C52"/>
    <w:rsid w:val="000E3107"/>
    <w:rsid w:val="000E67A5"/>
    <w:rsid w:val="001168D4"/>
    <w:rsid w:val="001277F3"/>
    <w:rsid w:val="00132FAF"/>
    <w:rsid w:val="001609BE"/>
    <w:rsid w:val="00172A27"/>
    <w:rsid w:val="001A7B65"/>
    <w:rsid w:val="001D4E85"/>
    <w:rsid w:val="001F10C7"/>
    <w:rsid w:val="00202A31"/>
    <w:rsid w:val="00203C25"/>
    <w:rsid w:val="0022132A"/>
    <w:rsid w:val="0022324A"/>
    <w:rsid w:val="00226CA0"/>
    <w:rsid w:val="00227A36"/>
    <w:rsid w:val="00240F43"/>
    <w:rsid w:val="00246E5C"/>
    <w:rsid w:val="00272BC8"/>
    <w:rsid w:val="002A2A17"/>
    <w:rsid w:val="002C68A1"/>
    <w:rsid w:val="002D6CB8"/>
    <w:rsid w:val="002E3ACB"/>
    <w:rsid w:val="003045BF"/>
    <w:rsid w:val="00312C16"/>
    <w:rsid w:val="003332B4"/>
    <w:rsid w:val="00381A02"/>
    <w:rsid w:val="00391518"/>
    <w:rsid w:val="00391BCA"/>
    <w:rsid w:val="00397A96"/>
    <w:rsid w:val="003B41A3"/>
    <w:rsid w:val="003B7A46"/>
    <w:rsid w:val="003C5750"/>
    <w:rsid w:val="003D1D56"/>
    <w:rsid w:val="003D43CD"/>
    <w:rsid w:val="003E71A4"/>
    <w:rsid w:val="003F50E3"/>
    <w:rsid w:val="003F7DE1"/>
    <w:rsid w:val="004166CE"/>
    <w:rsid w:val="004271A4"/>
    <w:rsid w:val="00430982"/>
    <w:rsid w:val="004442D3"/>
    <w:rsid w:val="00452E4D"/>
    <w:rsid w:val="00472010"/>
    <w:rsid w:val="004851F0"/>
    <w:rsid w:val="004A5B50"/>
    <w:rsid w:val="00511C5C"/>
    <w:rsid w:val="00522DF4"/>
    <w:rsid w:val="00526172"/>
    <w:rsid w:val="0053169C"/>
    <w:rsid w:val="00544AA6"/>
    <w:rsid w:val="00547132"/>
    <w:rsid w:val="00555564"/>
    <w:rsid w:val="0057137D"/>
    <w:rsid w:val="0058339D"/>
    <w:rsid w:val="00586AD9"/>
    <w:rsid w:val="00587CDC"/>
    <w:rsid w:val="0059775A"/>
    <w:rsid w:val="005C7130"/>
    <w:rsid w:val="005F180A"/>
    <w:rsid w:val="0062075D"/>
    <w:rsid w:val="0062762D"/>
    <w:rsid w:val="00646851"/>
    <w:rsid w:val="00667D05"/>
    <w:rsid w:val="00674556"/>
    <w:rsid w:val="006808B8"/>
    <w:rsid w:val="00681D69"/>
    <w:rsid w:val="006879C6"/>
    <w:rsid w:val="0069421B"/>
    <w:rsid w:val="00694BD3"/>
    <w:rsid w:val="006F2A79"/>
    <w:rsid w:val="00710473"/>
    <w:rsid w:val="0071419E"/>
    <w:rsid w:val="0071499E"/>
    <w:rsid w:val="00716FCF"/>
    <w:rsid w:val="007177EC"/>
    <w:rsid w:val="00721EFF"/>
    <w:rsid w:val="0077578B"/>
    <w:rsid w:val="0078049C"/>
    <w:rsid w:val="00782D35"/>
    <w:rsid w:val="00792EFC"/>
    <w:rsid w:val="0079478C"/>
    <w:rsid w:val="007B5F63"/>
    <w:rsid w:val="007B6094"/>
    <w:rsid w:val="007E63AD"/>
    <w:rsid w:val="007F66EE"/>
    <w:rsid w:val="008036BF"/>
    <w:rsid w:val="00807682"/>
    <w:rsid w:val="0084130B"/>
    <w:rsid w:val="008509C6"/>
    <w:rsid w:val="00857254"/>
    <w:rsid w:val="008612DB"/>
    <w:rsid w:val="00895220"/>
    <w:rsid w:val="008D5B97"/>
    <w:rsid w:val="008F57E6"/>
    <w:rsid w:val="00924B4E"/>
    <w:rsid w:val="009254B1"/>
    <w:rsid w:val="009461DC"/>
    <w:rsid w:val="00995839"/>
    <w:rsid w:val="009A07C5"/>
    <w:rsid w:val="009A2614"/>
    <w:rsid w:val="009C4FE6"/>
    <w:rsid w:val="009D7287"/>
    <w:rsid w:val="009E2967"/>
    <w:rsid w:val="009E363C"/>
    <w:rsid w:val="00A26B1F"/>
    <w:rsid w:val="00A30D78"/>
    <w:rsid w:val="00A341D1"/>
    <w:rsid w:val="00A4057E"/>
    <w:rsid w:val="00A46BD6"/>
    <w:rsid w:val="00A811F0"/>
    <w:rsid w:val="00A951D3"/>
    <w:rsid w:val="00AA4C0A"/>
    <w:rsid w:val="00AB5E54"/>
    <w:rsid w:val="00AC4703"/>
    <w:rsid w:val="00AE1B98"/>
    <w:rsid w:val="00B00ABD"/>
    <w:rsid w:val="00B168AD"/>
    <w:rsid w:val="00B65F8A"/>
    <w:rsid w:val="00B77A82"/>
    <w:rsid w:val="00B80CE3"/>
    <w:rsid w:val="00B8492B"/>
    <w:rsid w:val="00BC48D4"/>
    <w:rsid w:val="00BD62D5"/>
    <w:rsid w:val="00BE59BD"/>
    <w:rsid w:val="00C24110"/>
    <w:rsid w:val="00C36113"/>
    <w:rsid w:val="00C77B59"/>
    <w:rsid w:val="00C90FB7"/>
    <w:rsid w:val="00CB4850"/>
    <w:rsid w:val="00CB55FE"/>
    <w:rsid w:val="00CC4A31"/>
    <w:rsid w:val="00CF16C5"/>
    <w:rsid w:val="00CF736E"/>
    <w:rsid w:val="00D22FE4"/>
    <w:rsid w:val="00D24C7D"/>
    <w:rsid w:val="00D80264"/>
    <w:rsid w:val="00D94DD6"/>
    <w:rsid w:val="00DA0D04"/>
    <w:rsid w:val="00DC5E9C"/>
    <w:rsid w:val="00DD5DCA"/>
    <w:rsid w:val="00DE3204"/>
    <w:rsid w:val="00DE566D"/>
    <w:rsid w:val="00E2644E"/>
    <w:rsid w:val="00E325F7"/>
    <w:rsid w:val="00E33E7D"/>
    <w:rsid w:val="00E6006C"/>
    <w:rsid w:val="00E73587"/>
    <w:rsid w:val="00E861B9"/>
    <w:rsid w:val="00EA21FF"/>
    <w:rsid w:val="00EA5777"/>
    <w:rsid w:val="00EB1812"/>
    <w:rsid w:val="00ED4196"/>
    <w:rsid w:val="00EF0B92"/>
    <w:rsid w:val="00EF6761"/>
    <w:rsid w:val="00EF6919"/>
    <w:rsid w:val="00EF7318"/>
    <w:rsid w:val="00F10DFE"/>
    <w:rsid w:val="00F15DCD"/>
    <w:rsid w:val="00F17312"/>
    <w:rsid w:val="00F22C64"/>
    <w:rsid w:val="00F37F64"/>
    <w:rsid w:val="00F634AA"/>
    <w:rsid w:val="00F74F17"/>
    <w:rsid w:val="00F86BAA"/>
    <w:rsid w:val="00F877E1"/>
    <w:rsid w:val="00FA2943"/>
    <w:rsid w:val="00FA6138"/>
    <w:rsid w:val="00FB3118"/>
    <w:rsid w:val="00FC37B9"/>
    <w:rsid w:val="00FF0FEF"/>
    <w:rsid w:val="04262272"/>
    <w:rsid w:val="068D0CB0"/>
    <w:rsid w:val="06B367DB"/>
    <w:rsid w:val="07E15CA3"/>
    <w:rsid w:val="089F1676"/>
    <w:rsid w:val="0A9E3869"/>
    <w:rsid w:val="0BDD1D04"/>
    <w:rsid w:val="0C8F1FE8"/>
    <w:rsid w:val="0DCD64EC"/>
    <w:rsid w:val="0DF14675"/>
    <w:rsid w:val="0F7977F4"/>
    <w:rsid w:val="0FA55ADC"/>
    <w:rsid w:val="102437A4"/>
    <w:rsid w:val="129337D8"/>
    <w:rsid w:val="14021698"/>
    <w:rsid w:val="1475765A"/>
    <w:rsid w:val="175B459E"/>
    <w:rsid w:val="1899054D"/>
    <w:rsid w:val="1A6E27C2"/>
    <w:rsid w:val="1AC6529E"/>
    <w:rsid w:val="1AEF2A50"/>
    <w:rsid w:val="1C06071B"/>
    <w:rsid w:val="1C067E96"/>
    <w:rsid w:val="1F3359DA"/>
    <w:rsid w:val="1F6A3175"/>
    <w:rsid w:val="200C59D1"/>
    <w:rsid w:val="215D3FE8"/>
    <w:rsid w:val="217746D2"/>
    <w:rsid w:val="21A16EEB"/>
    <w:rsid w:val="2328037A"/>
    <w:rsid w:val="23C62036"/>
    <w:rsid w:val="26DB434F"/>
    <w:rsid w:val="2AC42D2F"/>
    <w:rsid w:val="2C1009A5"/>
    <w:rsid w:val="2CAB113B"/>
    <w:rsid w:val="2CC11E82"/>
    <w:rsid w:val="2F2E4D39"/>
    <w:rsid w:val="31EE13DB"/>
    <w:rsid w:val="337A2819"/>
    <w:rsid w:val="35DB1A18"/>
    <w:rsid w:val="367B2FEB"/>
    <w:rsid w:val="370311F1"/>
    <w:rsid w:val="37E05282"/>
    <w:rsid w:val="38000C46"/>
    <w:rsid w:val="3806052A"/>
    <w:rsid w:val="38944A76"/>
    <w:rsid w:val="399F15C0"/>
    <w:rsid w:val="3BD32FD8"/>
    <w:rsid w:val="3DAE53BC"/>
    <w:rsid w:val="465C6660"/>
    <w:rsid w:val="471A15CB"/>
    <w:rsid w:val="49F272AE"/>
    <w:rsid w:val="4EC916B9"/>
    <w:rsid w:val="52F56BCB"/>
    <w:rsid w:val="54EB5678"/>
    <w:rsid w:val="55F70566"/>
    <w:rsid w:val="566E3113"/>
    <w:rsid w:val="56B626DA"/>
    <w:rsid w:val="577227CC"/>
    <w:rsid w:val="58E249E8"/>
    <w:rsid w:val="5C1B6DE9"/>
    <w:rsid w:val="60E92231"/>
    <w:rsid w:val="64A55079"/>
    <w:rsid w:val="657E1038"/>
    <w:rsid w:val="65CD3B2B"/>
    <w:rsid w:val="67DD7861"/>
    <w:rsid w:val="6964639B"/>
    <w:rsid w:val="6998747F"/>
    <w:rsid w:val="742265E8"/>
    <w:rsid w:val="765C57B4"/>
    <w:rsid w:val="779455FA"/>
    <w:rsid w:val="78557CE4"/>
    <w:rsid w:val="79504716"/>
    <w:rsid w:val="79B0209F"/>
    <w:rsid w:val="7B341DD4"/>
    <w:rsid w:val="7B742571"/>
    <w:rsid w:val="7C3F42E4"/>
    <w:rsid w:val="7C72188D"/>
    <w:rsid w:val="7E72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line="360" w:lineRule="auto"/>
    </w:pPr>
    <w:rPr>
      <w:color w:val="000000"/>
      <w:szCs w:val="20"/>
    </w:rPr>
  </w:style>
  <w:style w:type="paragraph" w:styleId="3">
    <w:name w:val="Body Text Indent 2"/>
    <w:basedOn w:val="1"/>
    <w:link w:val="12"/>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qFormat/>
    <w:uiPriority w:val="0"/>
    <w:rPr>
      <w:color w:val="0000FF"/>
      <w:u w:val="single"/>
    </w:rPr>
  </w:style>
  <w:style w:type="character" w:customStyle="1" w:styleId="11">
    <w:name w:val="正文文本 字符"/>
    <w:link w:val="2"/>
    <w:qFormat/>
    <w:uiPriority w:val="0"/>
    <w:rPr>
      <w:color w:val="000000"/>
      <w:kern w:val="2"/>
      <w:sz w:val="21"/>
    </w:rPr>
  </w:style>
  <w:style w:type="character" w:customStyle="1" w:styleId="12">
    <w:name w:val="正文文本缩进 2 字符"/>
    <w:link w:val="3"/>
    <w:qFormat/>
    <w:uiPriority w:val="0"/>
    <w:rPr>
      <w:kern w:val="2"/>
      <w:sz w:val="21"/>
      <w:szCs w:val="24"/>
    </w:rPr>
  </w:style>
  <w:style w:type="character" w:customStyle="1" w:styleId="13">
    <w:name w:val="15"/>
    <w:qFormat/>
    <w:uiPriority w:val="0"/>
    <w:rPr>
      <w:rFonts w:hint="default" w:ascii="Times New Roman" w:hAnsi="Times New Roman" w:cs="Times New Roman"/>
      <w:sz w:val="20"/>
      <w:szCs w:val="20"/>
    </w:rPr>
  </w:style>
  <w:style w:type="paragraph" w:customStyle="1" w:styleId="14">
    <w:name w:val="p0"/>
    <w:basedOn w:val="1"/>
    <w:qFormat/>
    <w:uiPriority w:val="0"/>
    <w:pPr>
      <w:widowControl/>
    </w:pPr>
    <w:rPr>
      <w:rFonts w:ascii="Calibri" w:hAnsi="Calibri" w:cs="宋体"/>
      <w:kern w:val="0"/>
      <w:szCs w:val="21"/>
    </w:rPr>
  </w:style>
  <w:style w:type="paragraph" w:customStyle="1" w:styleId="15">
    <w:name w:val="Char Char1 Char Char"/>
    <w:basedOn w:val="1"/>
    <w:qFormat/>
    <w:uiPriority w:val="0"/>
  </w:style>
  <w:style w:type="paragraph" w:styleId="16">
    <w:name w:val="List Paragraph"/>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7</Pages>
  <Words>4939</Words>
  <Characters>5112</Characters>
  <Lines>46</Lines>
  <Paragraphs>12</Paragraphs>
  <TotalTime>0</TotalTime>
  <ScaleCrop>false</ScaleCrop>
  <LinksUpToDate>false</LinksUpToDate>
  <CharactersWithSpaces>5223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2022-07-01T12:57:00Z</dcterms:created>
  <dc:creator>zheng</dc:creator>
  <cp:lastModifiedBy>绿日</cp:lastModifiedBy>
  <cp:lastPrinted>2013-09-21T08:35:00Z</cp:lastPrinted>
  <dcterms:modified xsi:type="dcterms:W3CDTF">2022-11-14T06:57:13Z</dcterms:modified>
  <dc:title>附件7  环境工程专业专任教师例证</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2052-11.1.0.12763</vt:lpwstr>
  </property>
  <property fmtid="{D5CDD505-2E9C-101B-9397-08002B2CF9AE}" pid="4" name="ICV">
    <vt:lpwstr>AE5E2B96456340E79D8E1ACEB51ACA90</vt:lpwstr>
  </property>
  <property fmtid="{D5CDD505-2E9C-101B-9397-08002B2CF9AE}" pid="5" name="commondata">
    <vt:lpwstr>eyJoZGlkIjoiOTFiZDkzODYxNmY1OTY3MTI3MGE2NjViYzM4ZDQ5YTAifQ==</vt:lpwstr>
  </property>
</Properties>
</file>