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default" w:ascii="华文新魏" w:hAnsi="华文新魏" w:eastAsia="华文新魏" w:cs="华文新魏"/>
          <w:b/>
          <w:bCs/>
          <w:sz w:val="32"/>
          <w:szCs w:val="32"/>
          <w:lang w:val="zh-TW" w:eastAsia="zh-TW"/>
        </w:rPr>
      </w:pPr>
      <w:r>
        <w:rPr>
          <w:rFonts w:ascii="华文新魏" w:hAnsi="华文新魏" w:eastAsia="华文新魏" w:cs="华文新魏"/>
          <w:b/>
          <w:bCs/>
          <w:sz w:val="32"/>
          <w:szCs w:val="32"/>
          <w:lang w:val="zh-TW" w:eastAsia="zh-TW"/>
        </w:rPr>
        <w:t>电气工程及其自动化专业（本科）培养方案</w:t>
      </w:r>
    </w:p>
    <w:p>
      <w:pPr>
        <w:pStyle w:val="14"/>
        <w:jc w:val="center"/>
        <w:rPr>
          <w:rFonts w:hint="default" w:ascii="华文新魏" w:hAnsi="华文新魏" w:eastAsia="华文新魏" w:cs="华文新魏"/>
          <w:b/>
          <w:bCs/>
          <w:sz w:val="32"/>
          <w:szCs w:val="32"/>
          <w:lang w:val="zh-TW" w:eastAsia="zh-TW"/>
        </w:rPr>
      </w:pPr>
    </w:p>
    <w:p>
      <w:pPr>
        <w:pStyle w:val="14"/>
        <w:jc w:val="center"/>
        <w:rPr>
          <w:rFonts w:hint="default" w:ascii="宋体" w:hAnsi="宋体" w:eastAsia="宋体" w:cs="宋体"/>
        </w:rPr>
      </w:pPr>
      <w:r>
        <w:rPr>
          <w:rFonts w:ascii="宋体" w:hAnsi="宋体" w:eastAsia="宋体" w:cs="宋体"/>
          <w:lang w:val="zh-TW" w:eastAsia="zh-TW"/>
        </w:rPr>
        <w:t>制定日期：</w:t>
      </w:r>
      <w:r>
        <w:rPr>
          <w:rFonts w:hint="default" w:ascii="Times New Roman" w:hAnsi="Times New Roman" w:eastAsia="宋体" w:cs="Times New Roman"/>
          <w:lang w:val="en-US" w:eastAsia="zh-CN"/>
        </w:rPr>
        <w:t>2020</w:t>
      </w:r>
      <w:r>
        <w:rPr>
          <w:rFonts w:hint="default" w:ascii="Times New Roman" w:hAnsi="Times New Roman" w:eastAsia="宋体" w:cs="Times New Roman"/>
          <w:lang w:val="zh-TW" w:eastAsia="zh-TW"/>
        </w:rPr>
        <w:t>年</w:t>
      </w:r>
      <w:r>
        <w:rPr>
          <w:rFonts w:hint="default" w:ascii="Times New Roman" w:hAnsi="Times New Roman" w:eastAsia="宋体" w:cs="Times New Roman"/>
        </w:rPr>
        <w:t>6</w:t>
      </w:r>
      <w:r>
        <w:rPr>
          <w:rFonts w:ascii="宋体" w:hAnsi="宋体" w:eastAsia="宋体" w:cs="宋体"/>
          <w:lang w:val="zh-TW" w:eastAsia="zh-TW"/>
        </w:rPr>
        <w:t>月    制定：</w:t>
      </w:r>
      <w:r>
        <w:rPr>
          <w:rFonts w:ascii="宋体" w:hAnsi="宋体" w:eastAsia="宋体" w:cs="宋体"/>
          <w:lang w:val="zh-TW"/>
        </w:rPr>
        <w:t>罗萍萍</w:t>
      </w:r>
      <w:r>
        <w:rPr>
          <w:rFonts w:ascii="宋体" w:hAnsi="宋体" w:eastAsia="宋体" w:cs="宋体"/>
          <w:lang w:val="zh-TW" w:eastAsia="zh-TW"/>
        </w:rPr>
        <w:t xml:space="preserve">  审核：</w:t>
      </w:r>
      <w:r>
        <w:rPr>
          <w:rFonts w:ascii="宋体" w:hAnsi="宋体" w:eastAsia="宋体" w:cs="宋体"/>
          <w:lang w:val="zh-TW"/>
        </w:rPr>
        <w:t>魏书荣</w:t>
      </w:r>
      <w:r>
        <w:rPr>
          <w:rFonts w:ascii="宋体" w:hAnsi="宋体" w:eastAsia="宋体" w:cs="宋体"/>
          <w:lang w:val="zh-TW" w:eastAsia="zh-TW"/>
        </w:rPr>
        <w:t xml:space="preserve">    批准： 黄冬梅</w:t>
      </w:r>
    </w:p>
    <w:p>
      <w:pPr>
        <w:pStyle w:val="14"/>
        <w:rPr>
          <w:rFonts w:hint="default" w:ascii="黑体" w:hAnsi="黑体" w:eastAsia="黑体" w:cs="黑体"/>
        </w:rPr>
      </w:pPr>
    </w:p>
    <w:p>
      <w:pPr>
        <w:pStyle w:val="14"/>
        <w:tabs>
          <w:tab w:val="left" w:pos="420"/>
        </w:tabs>
        <w:spacing w:line="300" w:lineRule="auto"/>
        <w:rPr>
          <w:rFonts w:hint="default" w:ascii="Helvetica" w:hAnsi="Helvetica" w:eastAsia="Helvetica" w:cs="Helvetica"/>
          <w:b/>
          <w:bCs/>
        </w:rPr>
      </w:pPr>
      <w:r>
        <w:rPr>
          <w:rFonts w:ascii="黑体" w:hAnsi="黑体" w:eastAsia="黑体" w:cs="黑体"/>
          <w:b/>
          <w:bCs/>
        </w:rPr>
        <w:t>一、</w:t>
      </w:r>
      <w:r>
        <w:rPr>
          <w:rFonts w:ascii="黑体" w:hAnsi="黑体" w:eastAsia="黑体" w:cs="黑体"/>
          <w:b/>
          <w:bCs/>
          <w:lang w:eastAsia="zh-TW"/>
        </w:rPr>
        <w:t>专业说明</w:t>
      </w:r>
    </w:p>
    <w:p>
      <w:pPr>
        <w:pStyle w:val="14"/>
        <w:spacing w:line="300" w:lineRule="auto"/>
        <w:ind w:firstLine="420"/>
        <w:rPr>
          <w:rFonts w:ascii="宋体" w:hAnsi="宋体" w:eastAsia="宋体" w:cs="宋体"/>
        </w:rPr>
      </w:pPr>
      <w:r>
        <w:rPr>
          <w:rFonts w:ascii="宋体" w:hAnsi="宋体" w:eastAsia="宋体" w:cs="宋体"/>
          <w:lang w:val="zh-TW" w:eastAsia="zh-TW"/>
        </w:rPr>
        <w:t>专业代码：</w:t>
      </w:r>
      <w:r>
        <w:rPr>
          <w:rFonts w:hint="default" w:ascii="Times New Roman" w:hAnsi="Times New Roman" w:eastAsia="宋体" w:cs="Times New Roman"/>
        </w:rPr>
        <w:t>080601</w:t>
      </w:r>
    </w:p>
    <w:p>
      <w:pPr>
        <w:pStyle w:val="14"/>
        <w:spacing w:line="300" w:lineRule="auto"/>
        <w:ind w:firstLine="420"/>
        <w:rPr>
          <w:rFonts w:hint="default" w:ascii="宋体" w:hAnsi="宋体" w:eastAsia="宋体" w:cs="宋体"/>
        </w:rPr>
      </w:pPr>
      <w:r>
        <w:rPr>
          <w:rFonts w:hint="default" w:ascii="黑体" w:hAnsi="黑体" w:eastAsia="黑体" w:cs="黑体"/>
        </w:rPr>
        <w:pict>
          <v:rect id="Rectangle 2" o:spid="_x0000_s1026" o:spt="1" style="position:absolute;left:0pt;margin-left:27pt;margin-top:11.9pt;height:20.8pt;width:72pt;mso-position-vertical-relative:line;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">
            <v:path/>
            <v:fill focussize="0,0"/>
            <v:stroke weight="0.8pt" joinstyle="round"/>
            <v:imagedata o:title=""/>
            <o:lock v:ext="edit"/>
            <v:textbox>
              <w:txbxContent>
                <w:p>
                  <w:pPr>
                    <w:pStyle w:val="14"/>
                    <w:jc w:val="center"/>
                    <w:rPr>
                      <w:rFonts w:hint="default"/>
                    </w:rPr>
                  </w:pPr>
                  <w:r>
                    <w:rPr>
                      <w:rFonts w:ascii="宋体" w:hAnsi="宋体" w:eastAsia="宋体" w:cs="宋体"/>
                      <w:lang w:val="zh-TW" w:eastAsia="zh-TW"/>
                    </w:rPr>
                    <w:t>工学</w:t>
                  </w:r>
                </w:p>
              </w:txbxContent>
            </v:textbox>
          </v:rect>
        </w:pict>
      </w:r>
      <w:r>
        <w:rPr>
          <w:rFonts w:hint="default" w:ascii="黑体" w:hAnsi="黑体" w:eastAsia="黑体" w:cs="黑体"/>
        </w:rPr>
        <w:pict>
          <v:rect id="Rectangle 3" o:spid="_x0000_s1027" o:spt="1" style="position:absolute;left:0pt;margin-left:225.1pt;margin-top:10.5pt;height:25.5pt;width:124.7pt;mso-position-vertical-relative:lin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">
            <v:path/>
            <v:fill focussize="0,0"/>
            <v:stroke weight="0.8pt" joinstyle="round"/>
            <v:imagedata o:title=""/>
            <o:lock v:ext="edit"/>
            <v:textbox>
              <w:txbxContent>
                <w:p>
                  <w:pPr>
                    <w:pStyle w:val="14"/>
                    <w:jc w:val="center"/>
                    <w:rPr>
                      <w:rFonts w:hint="default"/>
                    </w:rPr>
                  </w:pPr>
                  <w:r>
                    <w:rPr>
                      <w:rFonts w:ascii="宋体" w:hAnsi="宋体" w:eastAsia="宋体" w:cs="宋体"/>
                      <w:lang w:val="zh-TW" w:eastAsia="zh-TW"/>
                    </w:rPr>
                    <w:t>电气工程及其自动化</w:t>
                  </w:r>
                </w:p>
              </w:txbxContent>
            </v:textbox>
          </v:rect>
        </w:pict>
      </w:r>
      <w:r>
        <w:rPr>
          <w:rFonts w:hint="default" w:ascii="黑体" w:hAnsi="黑体" w:eastAsia="黑体" w:cs="黑体"/>
        </w:rPr>
        <w:pict>
          <v:rect id="Rectangle 4" o:spid="_x0000_s1028" o:spt="1" style="position:absolute;left:0pt;margin-left:138.2pt;margin-top:10.4pt;height:25.6pt;width:59.8pt;mso-position-vertical-relative:line;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">
            <v:path/>
            <v:fill focussize="0,0"/>
            <v:stroke weight="0.8pt" joinstyle="round"/>
            <v:imagedata o:title=""/>
            <o:lock v:ext="edit"/>
            <v:textbox>
              <w:txbxContent>
                <w:p>
                  <w:pPr>
                    <w:pStyle w:val="14"/>
                    <w:jc w:val="center"/>
                    <w:rPr>
                      <w:rFonts w:hint="default"/>
                    </w:rPr>
                  </w:pPr>
                  <w:r>
                    <w:rPr>
                      <w:rFonts w:ascii="宋体" w:hAnsi="宋体" w:eastAsia="宋体" w:cs="宋体"/>
                      <w:lang w:val="zh-TW" w:eastAsia="zh-TW"/>
                    </w:rPr>
                    <w:t>电气类</w:t>
                  </w:r>
                </w:p>
              </w:txbxContent>
            </v:textbox>
          </v:rect>
        </w:pict>
      </w:r>
    </w:p>
    <w:p>
      <w:pPr>
        <w:pStyle w:val="14"/>
        <w:spacing w:line="300" w:lineRule="auto"/>
        <w:rPr>
          <w:rFonts w:ascii="黑体" w:hAnsi="黑体" w:eastAsia="黑体" w:cs="黑体"/>
          <w:b/>
          <w:bCs/>
        </w:rPr>
      </w:pPr>
      <w:r>
        <w:rPr>
          <w:rFonts w:hint="default" w:ascii="黑体" w:hAnsi="黑体" w:eastAsia="黑体" w:cs="黑体"/>
        </w:rPr>
        <w:pict>
          <v:line id="Line 5" o:spid="_x0000_s1030" o:spt="20" style="position:absolute;left:0pt;margin-left:198.4pt;margin-top:4.4pt;height:0pt;width:27pt;mso-position-vertical-relative:line;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pUzEQIAACg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">
            <v:path arrowok="t"/>
            <v:fill focussize="0,0"/>
            <v:stroke weight="0.8pt"/>
            <v:imagedata o:title=""/>
            <o:lock v:ext="edit"/>
          </v:line>
        </w:pict>
      </w:r>
      <w:r>
        <w:rPr>
          <w:rFonts w:hint="default" w:ascii="黑体" w:hAnsi="黑体" w:eastAsia="黑体" w:cs="黑体"/>
        </w:rPr>
        <w:pict>
          <v:line id="Line 6" o:spid="_x0000_s1029" o:spt="20" style="position:absolute;left:0pt;margin-left:99.4pt;margin-top:4.4pt;height:0pt;width:39.2pt;mso-position-vertical-relative:line;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">
            <v:path arrowok="t"/>
            <v:fill focussize="0,0"/>
            <v:stroke weight="0.8pt"/>
            <v:imagedata o:title=""/>
            <o:lock v:ext="edit"/>
          </v:line>
        </w:pict>
      </w:r>
    </w:p>
    <w:p>
      <w:pPr>
        <w:pStyle w:val="14"/>
        <w:tabs>
          <w:tab w:val="left" w:pos="420"/>
        </w:tabs>
        <w:spacing w:line="300" w:lineRule="auto"/>
        <w:rPr>
          <w:rFonts w:ascii="黑体" w:hAnsi="黑体" w:eastAsia="黑体" w:cs="黑体"/>
          <w:b/>
          <w:bCs/>
        </w:rPr>
      </w:pPr>
    </w:p>
    <w:p>
      <w:pPr>
        <w:pStyle w:val="14"/>
        <w:tabs>
          <w:tab w:val="left" w:pos="420"/>
        </w:tabs>
        <w:spacing w:line="300" w:lineRule="auto"/>
        <w:rPr>
          <w:rFonts w:hint="default" w:ascii="Helvetica" w:hAnsi="Helvetica" w:eastAsia="Helvetica" w:cs="Helvetica"/>
        </w:rPr>
      </w:pPr>
      <w:r>
        <w:rPr>
          <w:rFonts w:ascii="黑体" w:hAnsi="黑体" w:eastAsia="黑体" w:cs="黑体"/>
          <w:b/>
          <w:bCs/>
        </w:rPr>
        <w:t>二、</w:t>
      </w:r>
      <w:r>
        <w:rPr>
          <w:rFonts w:ascii="黑体" w:hAnsi="黑体" w:eastAsia="黑体" w:cs="黑体"/>
          <w:b/>
          <w:bCs/>
          <w:lang w:eastAsia="zh-TW"/>
        </w:rPr>
        <w:t>培养目标</w:t>
      </w:r>
    </w:p>
    <w:p>
      <w:pPr>
        <w:pStyle w:val="3"/>
        <w:spacing w:line="300" w:lineRule="auto"/>
        <w:rPr>
          <w:rFonts w:hint="default" w:ascii="宋体" w:hAnsi="宋体" w:eastAsia="宋体" w:cs="宋体"/>
          <w:lang w:val="zh-TW" w:eastAsia="zh-TW"/>
        </w:rPr>
      </w:pPr>
      <w:r>
        <w:rPr>
          <w:rFonts w:ascii="宋体" w:hAnsi="宋体" w:eastAsia="宋体" w:cs="宋体"/>
          <w:lang w:val="zh-TW" w:eastAsia="zh-TW"/>
        </w:rPr>
        <w:t>根据电气工程专业标准要求，结合上海电力</w:t>
      </w:r>
      <w:r>
        <w:rPr>
          <w:rFonts w:hint="eastAsia" w:ascii="宋体" w:hAnsi="宋体" w:eastAsia="宋体" w:cs="宋体"/>
          <w:lang w:val="zh-TW" w:eastAsia="zh-CN"/>
        </w:rPr>
        <w:t>大学</w:t>
      </w:r>
      <w:r>
        <w:rPr>
          <w:rFonts w:ascii="宋体" w:hAnsi="宋体" w:eastAsia="宋体" w:cs="宋体"/>
          <w:lang w:val="zh-TW" w:eastAsia="zh-TW"/>
        </w:rPr>
        <w:t>长期的电力行业优势，确定本专业的培养目标是：本专业培养服务电力行业和社会经济发展，具有社会责任感和良好职业道德，在电气工程领域具有基础理论、专业技术、工程实践、自我学习与创新能力，从事电力工程设计、研究开发、系统运行、试验分析、工程管理等工作的应用型工程技术人才。</w:t>
      </w:r>
    </w:p>
    <w:p>
      <w:pPr>
        <w:pStyle w:val="14"/>
        <w:tabs>
          <w:tab w:val="left" w:pos="420"/>
        </w:tabs>
        <w:spacing w:line="300" w:lineRule="auto"/>
        <w:rPr>
          <w:rFonts w:ascii="黑体" w:hAnsi="黑体" w:eastAsia="黑体" w:cs="黑体"/>
          <w:b/>
          <w:bCs/>
        </w:rPr>
      </w:pPr>
    </w:p>
    <w:p>
      <w:pPr>
        <w:pStyle w:val="14"/>
        <w:tabs>
          <w:tab w:val="left" w:pos="420"/>
        </w:tabs>
        <w:spacing w:line="300" w:lineRule="auto"/>
        <w:rPr>
          <w:rFonts w:hint="default" w:ascii="Helvetica" w:hAnsi="Helvetica" w:eastAsia="Helvetica" w:cs="Helvetica"/>
          <w:b/>
          <w:bCs/>
        </w:rPr>
      </w:pPr>
      <w:r>
        <w:rPr>
          <w:rFonts w:ascii="黑体" w:hAnsi="黑体" w:eastAsia="黑体" w:cs="黑体"/>
          <w:b/>
          <w:bCs/>
        </w:rPr>
        <w:t>三、毕业</w:t>
      </w:r>
      <w:r>
        <w:rPr>
          <w:rFonts w:ascii="黑体" w:hAnsi="黑体" w:eastAsia="黑体" w:cs="黑体"/>
          <w:b/>
          <w:bCs/>
          <w:lang w:eastAsia="zh-TW"/>
        </w:rPr>
        <w:t>要求</w:t>
      </w:r>
    </w:p>
    <w:p>
      <w:pPr>
        <w:pStyle w:val="14"/>
        <w:spacing w:line="300" w:lineRule="auto"/>
        <w:ind w:firstLine="400"/>
        <w:jc w:val="both"/>
        <w:rPr>
          <w:rFonts w:hint="default"/>
          <w:color w:val="FF0000"/>
          <w:u w:color="FF0000"/>
        </w:rPr>
      </w:pPr>
      <w:r>
        <w:rPr>
          <w:rFonts w:ascii="宋体" w:hAnsi="宋体" w:eastAsia="宋体" w:cs="宋体"/>
          <w:lang w:val="zh-TW" w:eastAsia="zh-TW"/>
        </w:rPr>
        <w:t>本专业学生主要学习电工技术、电子技术、信号分析处理、计算机技术和自动控制等方面的基础理论知识并接受技术方面的基本训练，学习电力系统分析、电气主系统、电力系统保护与控制等方面的专业知识和专业技能并得到较好工程实践训练。通过学习使学生具备解决电力相关领域复杂工程问题的基本能力，达到如下毕业要求：</w:t>
      </w:r>
      <w:r>
        <w:rPr>
          <w:rFonts w:hint="default"/>
          <w:color w:val="FF0000"/>
          <w:u w:color="FF0000"/>
        </w:rPr>
        <w:t xml:space="preserve"> </w:t>
      </w:r>
    </w:p>
    <w:p>
      <w:pPr>
        <w:pStyle w:val="14"/>
        <w:spacing w:line="300" w:lineRule="auto"/>
        <w:ind w:firstLine="420" w:firstLineChars="200"/>
        <w:jc w:val="both"/>
        <w:rPr>
          <w:rFonts w:hint="default" w:ascii="宋体" w:hAnsi="宋体" w:eastAsia="宋体" w:cs="宋体"/>
        </w:rPr>
      </w:pPr>
      <w:r>
        <w:rPr>
          <w:rFonts w:ascii="宋体" w:hAnsi="宋体" w:eastAsia="宋体" w:cs="宋体"/>
        </w:rPr>
        <w:t>1.工程知识：能够将数学、自然科学、工程基础和专业知识用于解决复杂电气工程问题。</w:t>
      </w:r>
    </w:p>
    <w:p>
      <w:pPr>
        <w:pStyle w:val="14"/>
        <w:spacing w:line="300" w:lineRule="auto"/>
        <w:ind w:firstLine="420" w:firstLineChars="200"/>
        <w:jc w:val="both"/>
        <w:rPr>
          <w:rFonts w:hint="default" w:ascii="宋体" w:hAnsi="宋体" w:eastAsia="宋体" w:cs="宋体"/>
        </w:rPr>
      </w:pPr>
      <w:r>
        <w:rPr>
          <w:rFonts w:ascii="宋体" w:hAnsi="宋体" w:eastAsia="宋体" w:cs="宋体"/>
        </w:rPr>
        <w:t>2.问题分析：能够应用数学、自然科学和工程科学的基本原理，识别、表达、并通过文献研究分析复杂电气工程问题，以获得有效结论。</w:t>
      </w:r>
    </w:p>
    <w:p>
      <w:pPr>
        <w:pStyle w:val="14"/>
        <w:spacing w:line="300" w:lineRule="auto"/>
        <w:ind w:firstLine="420" w:firstLineChars="200"/>
        <w:jc w:val="both"/>
        <w:rPr>
          <w:rFonts w:hint="default" w:ascii="宋体" w:hAnsi="宋体" w:eastAsia="宋体" w:cs="宋体"/>
        </w:rPr>
      </w:pPr>
      <w:r>
        <w:rPr>
          <w:rFonts w:ascii="宋体" w:hAnsi="宋体" w:eastAsia="宋体" w:cs="宋体"/>
        </w:rPr>
        <w:t>3.设计/开发解决方案：能够设计针对复杂电气工程问题的解决方案，设计满足电力系统运行需求的系统、装置或方案，并能够在设计环节中体现创新意识，考虑社会、健康、安全、法律、文化以及环境等因素。</w:t>
      </w:r>
    </w:p>
    <w:p>
      <w:pPr>
        <w:pStyle w:val="14"/>
        <w:spacing w:line="300" w:lineRule="auto"/>
        <w:ind w:firstLine="420" w:firstLineChars="200"/>
        <w:jc w:val="both"/>
        <w:rPr>
          <w:rFonts w:hint="default" w:ascii="宋体" w:hAnsi="宋体" w:eastAsia="宋体" w:cs="宋体"/>
        </w:rPr>
      </w:pPr>
      <w:r>
        <w:rPr>
          <w:rFonts w:ascii="宋体" w:hAnsi="宋体" w:eastAsia="宋体" w:cs="宋体"/>
        </w:rPr>
        <w:t>4.研究：能够基于科学原理并采用科学方法对复杂电气工程问题进行研究，包括设计实验、分析与解释数据、并通过信息综合得到合理有效的结论。</w:t>
      </w:r>
    </w:p>
    <w:p>
      <w:pPr>
        <w:pStyle w:val="14"/>
        <w:spacing w:line="300" w:lineRule="auto"/>
        <w:ind w:firstLine="420" w:firstLineChars="200"/>
        <w:jc w:val="both"/>
        <w:rPr>
          <w:rFonts w:hint="default" w:ascii="宋体" w:hAnsi="宋体" w:eastAsia="宋体" w:cs="宋体"/>
        </w:rPr>
      </w:pPr>
      <w:r>
        <w:rPr>
          <w:rFonts w:ascii="宋体" w:hAnsi="宋体" w:eastAsia="宋体" w:cs="宋体"/>
        </w:rPr>
        <w:t>5.使用现代工具：能够针对复杂电气工程问题，开发、选择与使用恰当的现代设计工具、仿真技术和信息技术资源，包括对复杂电气工程问题的分析与模拟，并能够理解其局限性。</w:t>
      </w:r>
    </w:p>
    <w:p>
      <w:pPr>
        <w:pStyle w:val="14"/>
        <w:spacing w:line="300" w:lineRule="auto"/>
        <w:ind w:firstLine="420" w:firstLineChars="200"/>
        <w:jc w:val="both"/>
        <w:rPr>
          <w:rFonts w:hint="default" w:ascii="宋体" w:hAnsi="宋体" w:eastAsia="宋体" w:cs="宋体"/>
        </w:rPr>
      </w:pPr>
      <w:r>
        <w:rPr>
          <w:rFonts w:ascii="宋体" w:hAnsi="宋体" w:eastAsia="宋体" w:cs="宋体"/>
        </w:rPr>
        <w:t>6.工程与社会：能够基于电气工程相关背景知识进行合理分析，评价专业工程实践和复杂电气工程问题解决方案对社会、健康、安全、法律以及文化的影响，并理解应承担的责任。</w:t>
      </w:r>
    </w:p>
    <w:p>
      <w:pPr>
        <w:pStyle w:val="14"/>
        <w:spacing w:line="300" w:lineRule="auto"/>
        <w:ind w:firstLine="420" w:firstLineChars="200"/>
        <w:jc w:val="both"/>
        <w:rPr>
          <w:rFonts w:hint="default" w:ascii="宋体" w:hAnsi="宋体" w:eastAsia="宋体" w:cs="宋体"/>
        </w:rPr>
      </w:pPr>
      <w:r>
        <w:rPr>
          <w:rFonts w:ascii="宋体" w:hAnsi="宋体" w:eastAsia="宋体" w:cs="宋体"/>
        </w:rPr>
        <w:t xml:space="preserve">7.环境和可持续发展：能够理解和评价针对复杂电气工程问题的工程实践对环境、社会可持续发展的影响。 </w:t>
      </w:r>
    </w:p>
    <w:p>
      <w:pPr>
        <w:pStyle w:val="14"/>
        <w:spacing w:line="300" w:lineRule="auto"/>
        <w:ind w:firstLine="420" w:firstLineChars="200"/>
        <w:jc w:val="both"/>
        <w:rPr>
          <w:rFonts w:hint="default" w:ascii="宋体" w:hAnsi="宋体" w:eastAsia="宋体" w:cs="宋体"/>
        </w:rPr>
      </w:pPr>
      <w:r>
        <w:rPr>
          <w:rFonts w:ascii="宋体" w:hAnsi="宋体" w:eastAsia="宋体" w:cs="宋体"/>
        </w:rPr>
        <w:t xml:space="preserve">8.职业规范：具有人文社会科学素养、社会责任感，能够在电气工程实践中理解并遵守工程职业道德和规范，履行责任。 </w:t>
      </w:r>
    </w:p>
    <w:p>
      <w:pPr>
        <w:pStyle w:val="14"/>
        <w:spacing w:line="300" w:lineRule="auto"/>
        <w:ind w:firstLine="420" w:firstLineChars="200"/>
        <w:jc w:val="both"/>
        <w:rPr>
          <w:rFonts w:hint="default" w:ascii="宋体" w:hAnsi="宋体" w:eastAsia="宋体" w:cs="宋体"/>
        </w:rPr>
      </w:pPr>
      <w:r>
        <w:rPr>
          <w:rFonts w:ascii="宋体" w:hAnsi="宋体" w:eastAsia="宋体" w:cs="宋体"/>
        </w:rPr>
        <w:t>9.个人和团队：能够在多学科背景下的团队中承担个体、团队成员以及负责人的角色。</w:t>
      </w:r>
    </w:p>
    <w:p>
      <w:pPr>
        <w:pStyle w:val="14"/>
        <w:spacing w:line="300" w:lineRule="auto"/>
        <w:ind w:firstLine="420" w:firstLineChars="200"/>
        <w:jc w:val="both"/>
        <w:rPr>
          <w:rFonts w:hint="default" w:ascii="宋体" w:hAnsi="宋体" w:eastAsia="宋体" w:cs="宋体"/>
        </w:rPr>
      </w:pPr>
      <w:r>
        <w:rPr>
          <w:rFonts w:ascii="宋体" w:hAnsi="宋体" w:eastAsia="宋体" w:cs="宋体"/>
        </w:rPr>
        <w:t>10.沟通：能够就复杂电气工程问题与业界同行及社会公众进行有效沟通和交流，包括撰写报告和设计文稿、陈述发言、清晰表达或回应指令。并具备一定的国际视野，能够在跨文化背景下进行沟通和交流。</w:t>
      </w:r>
    </w:p>
    <w:p>
      <w:pPr>
        <w:pStyle w:val="14"/>
        <w:spacing w:line="300" w:lineRule="auto"/>
        <w:ind w:firstLine="420" w:firstLineChars="200"/>
        <w:jc w:val="both"/>
        <w:rPr>
          <w:rFonts w:hint="default" w:ascii="宋体" w:hAnsi="宋体" w:eastAsia="宋体" w:cs="宋体"/>
        </w:rPr>
      </w:pPr>
      <w:r>
        <w:rPr>
          <w:rFonts w:ascii="宋体" w:hAnsi="宋体" w:eastAsia="宋体" w:cs="宋体"/>
        </w:rPr>
        <w:t>11.项目管理：理解并掌握电气工程管理的原理与经济决策方法，并能在多学科环境中应用。</w:t>
      </w:r>
    </w:p>
    <w:p>
      <w:pPr>
        <w:pStyle w:val="14"/>
        <w:spacing w:line="300" w:lineRule="auto"/>
        <w:ind w:firstLine="420" w:firstLineChars="200"/>
        <w:jc w:val="both"/>
        <w:rPr>
          <w:rFonts w:hint="default" w:ascii="宋体" w:hAnsi="宋体" w:eastAsia="宋体" w:cs="宋体"/>
          <w:lang w:val="zh-TW" w:eastAsia="zh-TW"/>
        </w:rPr>
      </w:pPr>
      <w:r>
        <w:rPr>
          <w:rFonts w:ascii="宋体" w:hAnsi="宋体" w:eastAsia="宋体" w:cs="宋体"/>
        </w:rPr>
        <w:t>12.终身学习：具有自主学习和终身学习的意识，有不断学习和适应发展的能力。</w:t>
      </w:r>
    </w:p>
    <w:p>
      <w:pPr>
        <w:pStyle w:val="14"/>
        <w:tabs>
          <w:tab w:val="left" w:pos="420"/>
        </w:tabs>
        <w:spacing w:line="300" w:lineRule="auto"/>
        <w:rPr>
          <w:rFonts w:ascii="黑体" w:hAnsi="黑体" w:eastAsia="黑体" w:cs="黑体"/>
          <w:b/>
          <w:bCs/>
        </w:rPr>
      </w:pPr>
    </w:p>
    <w:p>
      <w:pPr>
        <w:pStyle w:val="14"/>
        <w:tabs>
          <w:tab w:val="left" w:pos="420"/>
        </w:tabs>
        <w:spacing w:line="300" w:lineRule="auto"/>
        <w:rPr>
          <w:rFonts w:hint="default" w:ascii="Helvetica" w:hAnsi="Helvetica" w:eastAsia="Helvetica" w:cs="Helvetica"/>
          <w:b/>
          <w:bCs/>
        </w:rPr>
      </w:pPr>
      <w:r>
        <w:rPr>
          <w:rFonts w:ascii="黑体" w:hAnsi="黑体" w:eastAsia="黑体" w:cs="黑体"/>
          <w:b/>
          <w:bCs/>
        </w:rPr>
        <w:t>四、</w:t>
      </w:r>
      <w:r>
        <w:rPr>
          <w:rFonts w:ascii="黑体" w:hAnsi="黑体" w:eastAsia="黑体" w:cs="黑体"/>
          <w:b/>
          <w:bCs/>
          <w:lang w:eastAsia="zh-TW"/>
        </w:rPr>
        <w:t xml:space="preserve">主干学科 </w:t>
      </w:r>
    </w:p>
    <w:p>
      <w:pPr>
        <w:pStyle w:val="14"/>
        <w:spacing w:line="300" w:lineRule="auto"/>
        <w:ind w:firstLine="420"/>
        <w:rPr>
          <w:rFonts w:hint="default" w:ascii="宋体" w:hAnsi="宋体" w:eastAsia="PMingLiU" w:cs="宋体"/>
          <w:lang w:val="zh-TW" w:eastAsia="zh-TW"/>
        </w:rPr>
      </w:pPr>
      <w:r>
        <w:rPr>
          <w:rFonts w:ascii="宋体" w:hAnsi="宋体" w:eastAsia="宋体" w:cs="宋体"/>
          <w:lang w:val="zh-TW" w:eastAsia="zh-TW"/>
        </w:rPr>
        <w:t>电气工程</w:t>
      </w:r>
    </w:p>
    <w:p>
      <w:pPr>
        <w:pStyle w:val="14"/>
        <w:tabs>
          <w:tab w:val="left" w:pos="420"/>
        </w:tabs>
        <w:spacing w:line="300" w:lineRule="auto"/>
        <w:rPr>
          <w:rFonts w:ascii="黑体" w:hAnsi="黑体" w:eastAsia="黑体" w:cs="黑体"/>
          <w:b/>
          <w:bCs/>
        </w:rPr>
      </w:pPr>
    </w:p>
    <w:p>
      <w:pPr>
        <w:pStyle w:val="14"/>
        <w:tabs>
          <w:tab w:val="left" w:pos="420"/>
        </w:tabs>
        <w:spacing w:line="300" w:lineRule="auto"/>
        <w:rPr>
          <w:rFonts w:hint="default" w:ascii="Helvetica" w:hAnsi="Helvetica" w:eastAsia="Helvetica" w:cs="Helvetica"/>
          <w:b/>
          <w:bCs/>
        </w:rPr>
      </w:pPr>
      <w:r>
        <w:rPr>
          <w:rFonts w:ascii="黑体" w:hAnsi="黑体" w:eastAsia="黑体" w:cs="黑体"/>
          <w:b/>
          <w:bCs/>
        </w:rPr>
        <w:t>五、</w:t>
      </w:r>
      <w:r>
        <w:rPr>
          <w:rFonts w:ascii="黑体" w:hAnsi="黑体" w:eastAsia="黑体" w:cs="黑体"/>
          <w:b/>
          <w:bCs/>
          <w:lang w:eastAsia="zh-TW"/>
        </w:rPr>
        <w:t>核心课程</w:t>
      </w:r>
    </w:p>
    <w:p>
      <w:pPr>
        <w:pStyle w:val="14"/>
        <w:spacing w:line="300" w:lineRule="auto"/>
        <w:ind w:firstLine="420"/>
        <w:rPr>
          <w:rFonts w:hint="default" w:ascii="宋体" w:hAnsi="宋体" w:eastAsia="PMingLiU" w:cs="宋体"/>
          <w:lang w:val="zh-TW" w:eastAsia="zh-TW"/>
        </w:rPr>
      </w:pPr>
      <w:r>
        <w:rPr>
          <w:rFonts w:ascii="宋体" w:hAnsi="宋体" w:eastAsia="宋体" w:cs="宋体"/>
          <w:lang w:val="zh-TW" w:eastAsia="zh-TW"/>
        </w:rPr>
        <w:t>电路、电子技术、电机学、自动控制原理、电力电子技术、电力系统分析、电气主系统、电力系统继电保护、高电压技术、电力系统自动化。</w:t>
      </w:r>
    </w:p>
    <w:p>
      <w:pPr>
        <w:pStyle w:val="14"/>
        <w:tabs>
          <w:tab w:val="left" w:pos="420"/>
        </w:tabs>
        <w:spacing w:line="300" w:lineRule="auto"/>
        <w:rPr>
          <w:rFonts w:ascii="黑体" w:hAnsi="黑体" w:eastAsia="黑体" w:cs="黑体"/>
          <w:b/>
          <w:bCs/>
        </w:rPr>
      </w:pPr>
    </w:p>
    <w:p>
      <w:pPr>
        <w:pStyle w:val="14"/>
        <w:tabs>
          <w:tab w:val="left" w:pos="420"/>
        </w:tabs>
        <w:spacing w:line="300" w:lineRule="auto"/>
        <w:rPr>
          <w:rFonts w:hint="default" w:ascii="黑体" w:hAnsi="黑体" w:eastAsia="黑体" w:cs="黑体"/>
          <w:b/>
          <w:bCs/>
        </w:rPr>
      </w:pPr>
      <w:r>
        <w:rPr>
          <w:rFonts w:ascii="黑体" w:hAnsi="黑体" w:eastAsia="黑体" w:cs="黑体"/>
          <w:b/>
          <w:bCs/>
        </w:rPr>
        <w:t>六、</w:t>
      </w:r>
      <w:r>
        <w:rPr>
          <w:rFonts w:ascii="黑体" w:hAnsi="黑体" w:eastAsia="黑体" w:cs="黑体"/>
          <w:b/>
          <w:bCs/>
          <w:lang w:eastAsia="zh-TW"/>
        </w:rPr>
        <w:t>主要实践教学环节</w:t>
      </w:r>
    </w:p>
    <w:p>
      <w:pPr>
        <w:pStyle w:val="14"/>
        <w:spacing w:line="300" w:lineRule="auto"/>
        <w:ind w:firstLine="420"/>
        <w:rPr>
          <w:rFonts w:hint="default" w:ascii="宋体" w:hAnsi="宋体" w:eastAsia="PMingLiU" w:cs="宋体"/>
          <w:lang w:val="zh-TW" w:eastAsia="zh-TW"/>
        </w:rPr>
      </w:pPr>
      <w:r>
        <w:rPr>
          <w:rFonts w:ascii="宋体" w:hAnsi="宋体" w:eastAsia="宋体" w:cs="宋体"/>
          <w:lang w:val="zh-TW" w:eastAsia="zh-TW"/>
        </w:rPr>
        <w:t>电路、电子技术独立实验；电气工程专业实验、综合实验；电气工程学科基础课、专业课课程设计；</w:t>
      </w:r>
      <w:r>
        <w:rPr>
          <w:rFonts w:hint="eastAsia" w:ascii="宋体" w:hAnsi="宋体" w:eastAsia="宋体" w:cs="宋体"/>
          <w:lang w:val="zh-TW" w:eastAsia="zh-CN"/>
        </w:rPr>
        <w:t>工程实训</w:t>
      </w:r>
      <w:r>
        <w:rPr>
          <w:rFonts w:ascii="宋体" w:hAnsi="宋体" w:eastAsia="宋体" w:cs="宋体"/>
          <w:lang w:val="zh-TW" w:eastAsia="zh-TW"/>
        </w:rPr>
        <w:t>、认识实习、生产实习，毕业设计</w:t>
      </w:r>
      <w:r>
        <w:rPr>
          <w:rFonts w:hint="eastAsia" w:ascii="宋体" w:hAnsi="宋体" w:eastAsia="宋体" w:cs="宋体"/>
          <w:lang w:val="zh-TW" w:eastAsia="zh-CN"/>
        </w:rPr>
        <w:t>（论文）</w:t>
      </w:r>
      <w:r>
        <w:rPr>
          <w:rFonts w:ascii="宋体" w:hAnsi="宋体" w:eastAsia="宋体" w:cs="宋体"/>
          <w:lang w:val="zh-TW" w:eastAsia="zh-TW"/>
        </w:rPr>
        <w:t>等。</w:t>
      </w:r>
    </w:p>
    <w:p>
      <w:pPr>
        <w:pStyle w:val="14"/>
        <w:tabs>
          <w:tab w:val="left" w:pos="420"/>
        </w:tabs>
        <w:spacing w:line="300" w:lineRule="auto"/>
        <w:rPr>
          <w:rFonts w:ascii="黑体" w:hAnsi="黑体" w:eastAsia="黑体" w:cs="黑体"/>
          <w:b/>
          <w:bCs/>
        </w:rPr>
      </w:pPr>
    </w:p>
    <w:p>
      <w:pPr>
        <w:pStyle w:val="14"/>
        <w:tabs>
          <w:tab w:val="left" w:pos="420"/>
        </w:tabs>
        <w:spacing w:line="300" w:lineRule="auto"/>
        <w:rPr>
          <w:rFonts w:hint="default"/>
          <w:b/>
          <w:bCs/>
        </w:rPr>
      </w:pPr>
      <w:r>
        <w:rPr>
          <w:rFonts w:ascii="黑体" w:hAnsi="黑体" w:eastAsia="黑体" w:cs="黑体"/>
          <w:b/>
          <w:bCs/>
        </w:rPr>
        <w:t>七、</w:t>
      </w:r>
      <w:r>
        <w:rPr>
          <w:rFonts w:ascii="黑体" w:hAnsi="黑体" w:eastAsia="黑体" w:cs="黑体"/>
          <w:b/>
          <w:bCs/>
          <w:lang w:eastAsia="zh-TW"/>
        </w:rPr>
        <w:t xml:space="preserve">主要专业实验 </w:t>
      </w:r>
    </w:p>
    <w:p>
      <w:pPr>
        <w:pStyle w:val="14"/>
        <w:spacing w:line="300" w:lineRule="auto"/>
        <w:ind w:firstLine="420"/>
        <w:rPr>
          <w:rFonts w:hint="default" w:ascii="宋体" w:hAnsi="宋体" w:eastAsia="PMingLiU" w:cs="宋体"/>
          <w:lang w:val="zh-TW" w:eastAsia="zh-TW"/>
        </w:rPr>
      </w:pPr>
      <w:r>
        <w:rPr>
          <w:rFonts w:ascii="宋体" w:hAnsi="宋体" w:eastAsia="宋体" w:cs="宋体"/>
          <w:lang w:val="zh-TW" w:eastAsia="zh-TW"/>
        </w:rPr>
        <w:t>电机学、电力系统继电保护、高电压技术、电力系统自动化专业课实验。</w:t>
      </w:r>
    </w:p>
    <w:p>
      <w:pPr>
        <w:pStyle w:val="14"/>
        <w:tabs>
          <w:tab w:val="left" w:pos="420"/>
        </w:tabs>
        <w:spacing w:line="300" w:lineRule="auto"/>
        <w:rPr>
          <w:rFonts w:ascii="黑体" w:hAnsi="黑体" w:eastAsia="黑体" w:cs="黑体"/>
          <w:b/>
          <w:bCs/>
        </w:rPr>
      </w:pPr>
    </w:p>
    <w:p>
      <w:pPr>
        <w:pStyle w:val="14"/>
        <w:tabs>
          <w:tab w:val="left" w:pos="420"/>
        </w:tabs>
        <w:spacing w:line="300" w:lineRule="auto"/>
        <w:rPr>
          <w:rFonts w:hint="default"/>
          <w:b/>
          <w:bCs/>
        </w:rPr>
      </w:pPr>
      <w:r>
        <w:rPr>
          <w:rFonts w:ascii="黑体" w:hAnsi="黑体" w:eastAsia="黑体" w:cs="黑体"/>
          <w:b/>
          <w:bCs/>
        </w:rPr>
        <w:t>八、</w:t>
      </w:r>
      <w:r>
        <w:rPr>
          <w:rFonts w:ascii="黑体" w:hAnsi="黑体" w:eastAsia="黑体" w:cs="黑体"/>
          <w:b/>
          <w:bCs/>
          <w:lang w:eastAsia="zh-TW"/>
        </w:rPr>
        <w:t>素质拓展</w:t>
      </w:r>
    </w:p>
    <w:p>
      <w:pPr>
        <w:pStyle w:val="14"/>
        <w:spacing w:line="300" w:lineRule="auto"/>
        <w:ind w:left="420"/>
        <w:rPr>
          <w:rFonts w:hint="default" w:ascii="宋体" w:hAnsi="宋体" w:eastAsia="PMingLiU" w:cs="宋体"/>
          <w:lang w:val="zh-TW" w:eastAsia="zh-TW"/>
        </w:rPr>
      </w:pPr>
      <w:r>
        <w:rPr>
          <w:rFonts w:ascii="宋体" w:hAnsi="宋体" w:eastAsia="宋体" w:cs="宋体"/>
          <w:lang w:val="zh-TW" w:eastAsia="zh-TW"/>
        </w:rPr>
        <w:t>社会实践、学科竞赛和创新实践等（课外完成）。</w:t>
      </w:r>
    </w:p>
    <w:p>
      <w:pPr>
        <w:pStyle w:val="14"/>
        <w:tabs>
          <w:tab w:val="left" w:pos="420"/>
        </w:tabs>
        <w:spacing w:line="300" w:lineRule="auto"/>
        <w:rPr>
          <w:rFonts w:ascii="黑体" w:hAnsi="黑体" w:eastAsia="黑体" w:cs="黑体"/>
          <w:b/>
          <w:bCs/>
        </w:rPr>
      </w:pPr>
    </w:p>
    <w:p>
      <w:pPr>
        <w:pStyle w:val="14"/>
        <w:tabs>
          <w:tab w:val="left" w:pos="420"/>
        </w:tabs>
        <w:spacing w:line="300" w:lineRule="auto"/>
        <w:rPr>
          <w:rFonts w:hint="default"/>
          <w:b/>
          <w:bCs/>
        </w:rPr>
      </w:pPr>
      <w:r>
        <w:rPr>
          <w:rFonts w:ascii="黑体" w:hAnsi="黑体" w:eastAsia="黑体" w:cs="黑体"/>
          <w:b/>
          <w:bCs/>
        </w:rPr>
        <w:t>九、</w:t>
      </w:r>
      <w:r>
        <w:rPr>
          <w:rFonts w:ascii="黑体" w:hAnsi="黑体" w:eastAsia="黑体" w:cs="黑体"/>
          <w:b/>
          <w:bCs/>
          <w:lang w:eastAsia="zh-TW"/>
        </w:rPr>
        <w:t>毕业学分要求及授予学位</w:t>
      </w:r>
    </w:p>
    <w:p>
      <w:pPr>
        <w:pStyle w:val="14"/>
        <w:spacing w:line="300" w:lineRule="auto"/>
        <w:ind w:firstLine="400"/>
        <w:rPr>
          <w:rFonts w:hint="default" w:ascii="宋体" w:hAnsi="宋体" w:eastAsia="宋体" w:cs="宋体"/>
          <w:lang w:val="zh-TW"/>
        </w:rPr>
      </w:pPr>
      <w:r>
        <w:rPr>
          <w:rFonts w:ascii="宋体" w:hAnsi="宋体" w:eastAsia="宋体" w:cs="宋体"/>
          <w:lang w:val="zh-TW" w:eastAsia="zh-TW"/>
        </w:rPr>
        <w:t xml:space="preserve">学生在规定的时间内学完培养方案规定的全部课程和学习任务获得相应的学分（修满 </w:t>
      </w:r>
      <w:r>
        <w:rPr>
          <w:rFonts w:hint="default" w:ascii="Times New Roman" w:hAnsi="Times New Roman" w:eastAsia="宋体" w:cs="Times New Roman"/>
          <w:lang w:val="zh-TW" w:eastAsia="zh-TW"/>
        </w:rPr>
        <w:t>17</w:t>
      </w:r>
      <w:r>
        <w:rPr>
          <w:rFonts w:hint="default" w:ascii="Times New Roman" w:hAnsi="Times New Roman" w:eastAsia="宋体" w:cs="Times New Roman"/>
          <w:lang w:val="en-US" w:eastAsia="zh-CN"/>
        </w:rPr>
        <w:t>3.5</w:t>
      </w:r>
      <w:r>
        <w:rPr>
          <w:rFonts w:hint="default" w:ascii="Times New Roman" w:hAnsi="Times New Roman" w:eastAsia="宋体" w:cs="Times New Roman"/>
          <w:lang w:val="zh-TW" w:eastAsia="zh-TW"/>
        </w:rPr>
        <w:t>学分），</w:t>
      </w:r>
      <w:r>
        <w:rPr>
          <w:rFonts w:hint="default" w:ascii="Times New Roman" w:hAnsi="Times New Roman" w:eastAsia="宋体" w:cs="Times New Roman"/>
          <w:lang w:val="zh-TW"/>
        </w:rPr>
        <w:t>素质拓展教育</w:t>
      </w:r>
      <w:r>
        <w:rPr>
          <w:rFonts w:hint="default" w:ascii="Times New Roman" w:hAnsi="Times New Roman" w:eastAsia="宋体" w:cs="Times New Roman"/>
        </w:rPr>
        <w:t>4</w:t>
      </w:r>
      <w:r>
        <w:rPr>
          <w:rFonts w:ascii="宋体" w:hAnsi="宋体" w:eastAsia="宋体" w:cs="宋体"/>
        </w:rPr>
        <w:t>学分</w:t>
      </w:r>
      <w:r>
        <w:rPr>
          <w:rFonts w:ascii="宋体" w:hAnsi="宋体" w:eastAsia="宋体" w:cs="宋体"/>
          <w:lang w:val="zh-TW"/>
        </w:rPr>
        <w:t>（由团委统一安排）。</w:t>
      </w:r>
      <w:r>
        <w:rPr>
          <w:rFonts w:ascii="宋体" w:hAnsi="宋体" w:eastAsia="宋体" w:cs="宋体"/>
          <w:lang w:val="zh-TW" w:eastAsia="zh-TW"/>
        </w:rPr>
        <w:t>符合各项要求者，准予毕业并发给毕业证书。毕业生符合国家和学校的有关规定者，经校学位委员会审查通过，授予工学学士学位。</w:t>
      </w: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rPr>
          <w:rFonts w:hint="eastAsia" w:ascii="黑体" w:hAnsi="黑体" w:eastAsia="黑体" w:cs="黑体"/>
          <w:b/>
          <w:bCs/>
          <w:sz w:val="21"/>
          <w:szCs w:val="21"/>
          <w:lang w:eastAsia="zh-CN"/>
        </w:rPr>
      </w:pPr>
    </w:p>
    <w:p>
      <w:pPr>
        <w:numPr>
          <w:ilvl w:val="0"/>
          <w:numId w:val="1"/>
        </w:numPr>
        <w:rPr>
          <w:rFonts w:hint="eastAsia" w:ascii="黑体" w:hAnsi="黑体" w:eastAsia="黑体" w:cs="黑体"/>
          <w:b/>
          <w:bCs/>
          <w:sz w:val="21"/>
          <w:szCs w:val="21"/>
          <w:lang w:eastAsia="zh-CN"/>
        </w:rPr>
      </w:pPr>
      <w:r>
        <w:rPr>
          <w:rFonts w:hint="eastAsia" w:ascii="黑体" w:hAnsi="黑体" w:eastAsia="黑体" w:cs="黑体"/>
          <w:b/>
          <w:bCs/>
          <w:sz w:val="21"/>
          <w:szCs w:val="21"/>
          <w:lang w:eastAsia="zh-TW"/>
        </w:rPr>
        <w:t xml:space="preserve">各类课程学时学分分配表 </w:t>
      </w:r>
    </w:p>
    <w:p>
      <w:pPr>
        <w:numPr>
          <w:ilvl w:val="0"/>
          <w:numId w:val="0"/>
        </w:numPr>
        <w:rPr>
          <w:rFonts w:hint="eastAsia" w:ascii="黑体" w:hAnsi="黑体" w:eastAsia="黑体" w:cs="黑体"/>
          <w:b/>
          <w:bCs/>
          <w:sz w:val="21"/>
          <w:szCs w:val="21"/>
          <w:lang w:eastAsia="zh-CN"/>
        </w:rPr>
      </w:pPr>
    </w:p>
    <w:tbl>
      <w:tblPr>
        <w:tblStyle w:val="8"/>
        <w:tblW w:w="9017" w:type="dxa"/>
        <w:tblInd w:w="113" w:type="dxa"/>
        <w:tblLayout w:type="fixed"/>
        <w:tblCellMar>
          <w:top w:w="0" w:type="dxa"/>
          <w:left w:w="108" w:type="dxa"/>
          <w:bottom w:w="0" w:type="dxa"/>
          <w:right w:w="108" w:type="dxa"/>
        </w:tblCellMar>
      </w:tblPr>
      <w:tblGrid>
        <w:gridCol w:w="1129"/>
        <w:gridCol w:w="4962"/>
        <w:gridCol w:w="649"/>
        <w:gridCol w:w="1173"/>
        <w:gridCol w:w="1104"/>
      </w:tblGrid>
      <w:tr>
        <w:tblPrEx>
          <w:tblCellMar>
            <w:top w:w="0" w:type="dxa"/>
            <w:left w:w="108" w:type="dxa"/>
            <w:bottom w:w="0" w:type="dxa"/>
            <w:right w:w="108" w:type="dxa"/>
          </w:tblCellMar>
        </w:tblPrEx>
        <w:trPr>
          <w:trHeight w:val="567" w:hRule="atLeast"/>
        </w:trPr>
        <w:tc>
          <w:tcPr>
            <w:tcW w:w="1129"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220" w:lineRule="exact"/>
              <w:jc w:val="center"/>
              <w:rPr>
                <w:rFonts w:ascii="宋体" w:hAnsi="宋体" w:eastAsia="宋体" w:cs="宋体"/>
                <w:b/>
                <w:bCs/>
                <w:sz w:val="21"/>
                <w:szCs w:val="21"/>
                <w:lang w:eastAsia="zh-CN"/>
              </w:rPr>
            </w:pPr>
            <w:r>
              <w:rPr>
                <w:rFonts w:hint="eastAsia" w:ascii="宋体" w:hAnsi="宋体"/>
                <w:sz w:val="21"/>
                <w:szCs w:val="21"/>
              </w:rPr>
              <w:t>学时分配</w:t>
            </w:r>
          </w:p>
        </w:tc>
        <w:tc>
          <w:tcPr>
            <w:tcW w:w="7888" w:type="dxa"/>
            <w:gridSpan w:val="4"/>
            <w:tcBorders>
              <w:top w:val="single" w:color="auto" w:sz="4" w:space="0"/>
              <w:left w:val="nil"/>
              <w:bottom w:val="single" w:color="auto" w:sz="4" w:space="0"/>
              <w:right w:val="single" w:color="auto" w:sz="4" w:space="0"/>
            </w:tcBorders>
            <w:shd w:val="clear" w:color="000000" w:fill="FFFFFF"/>
            <w:vAlign w:val="center"/>
          </w:tcPr>
          <w:p>
            <w:pPr>
              <w:spacing w:line="220" w:lineRule="exact"/>
              <w:jc w:val="both"/>
              <w:rPr>
                <w:rFonts w:ascii="宋体" w:hAnsi="宋体"/>
                <w:sz w:val="21"/>
                <w:szCs w:val="21"/>
                <w:lang w:eastAsia="zh-CN"/>
              </w:rPr>
            </w:pPr>
            <w:r>
              <w:rPr>
                <w:rFonts w:hint="eastAsia" w:ascii="宋体" w:hAnsi="宋体"/>
                <w:sz w:val="21"/>
                <w:szCs w:val="21"/>
                <w:lang w:eastAsia="zh-CN"/>
              </w:rPr>
              <w:t>课内</w:t>
            </w:r>
            <w:r>
              <w:rPr>
                <w:rFonts w:hint="eastAsia" w:ascii="宋体" w:hAnsi="宋体"/>
                <w:sz w:val="21"/>
                <w:szCs w:val="21"/>
                <w:lang w:val="en-US" w:eastAsia="zh-CN"/>
              </w:rPr>
              <w:t>135</w:t>
            </w:r>
            <w:r>
              <w:rPr>
                <w:rFonts w:hint="eastAsia" w:ascii="宋体" w:hAnsi="宋体"/>
                <w:sz w:val="21"/>
                <w:szCs w:val="21"/>
                <w:lang w:eastAsia="zh-CN"/>
              </w:rPr>
              <w:t>学分折合</w:t>
            </w:r>
            <w:r>
              <w:rPr>
                <w:rFonts w:hint="eastAsia" w:ascii="宋体" w:hAnsi="宋体"/>
                <w:sz w:val="21"/>
                <w:szCs w:val="21"/>
                <w:lang w:val="en-US" w:eastAsia="zh-CN"/>
              </w:rPr>
              <w:t>2160</w:t>
            </w:r>
            <w:r>
              <w:rPr>
                <w:rFonts w:hint="eastAsia" w:ascii="宋体" w:hAnsi="宋体"/>
                <w:sz w:val="21"/>
                <w:szCs w:val="21"/>
                <w:lang w:eastAsia="zh-CN"/>
              </w:rPr>
              <w:t>学时，集中实验6学分与实践</w:t>
            </w:r>
            <w:r>
              <w:rPr>
                <w:rFonts w:hint="eastAsia" w:ascii="宋体" w:hAnsi="宋体"/>
                <w:sz w:val="21"/>
                <w:szCs w:val="21"/>
                <w:lang w:val="en-US" w:eastAsia="zh-CN"/>
              </w:rPr>
              <w:t>32.5</w:t>
            </w:r>
            <w:r>
              <w:rPr>
                <w:rFonts w:hint="eastAsia" w:ascii="宋体" w:hAnsi="宋体"/>
                <w:sz w:val="21"/>
                <w:szCs w:val="21"/>
                <w:lang w:eastAsia="zh-CN"/>
              </w:rPr>
              <w:t>学分折合</w:t>
            </w:r>
            <w:r>
              <w:rPr>
                <w:rFonts w:hint="eastAsia" w:ascii="宋体" w:hAnsi="宋体"/>
                <w:sz w:val="21"/>
                <w:szCs w:val="21"/>
                <w:lang w:val="en-US" w:eastAsia="zh-CN"/>
              </w:rPr>
              <w:t>746</w:t>
            </w:r>
            <w:r>
              <w:rPr>
                <w:rFonts w:hint="eastAsia" w:ascii="宋体" w:hAnsi="宋体"/>
                <w:sz w:val="21"/>
                <w:szCs w:val="21"/>
                <w:lang w:eastAsia="zh-CN"/>
              </w:rPr>
              <w:t>学时，总学分17</w:t>
            </w:r>
            <w:r>
              <w:rPr>
                <w:rFonts w:hint="eastAsia" w:ascii="宋体" w:hAnsi="宋体"/>
                <w:sz w:val="21"/>
                <w:szCs w:val="21"/>
                <w:lang w:val="en-US" w:eastAsia="zh-CN"/>
              </w:rPr>
              <w:t>3.5</w:t>
            </w:r>
            <w:r>
              <w:rPr>
                <w:rFonts w:hint="eastAsia" w:ascii="宋体" w:hAnsi="宋体"/>
                <w:sz w:val="21"/>
                <w:szCs w:val="21"/>
                <w:lang w:eastAsia="zh-CN"/>
              </w:rPr>
              <w:t>，总学时</w:t>
            </w:r>
            <w:r>
              <w:rPr>
                <w:rFonts w:hint="eastAsia" w:ascii="宋体" w:hAnsi="宋体"/>
                <w:sz w:val="21"/>
                <w:szCs w:val="21"/>
                <w:lang w:val="en-US" w:eastAsia="zh-CN"/>
              </w:rPr>
              <w:t>2906</w:t>
            </w:r>
            <w:r>
              <w:rPr>
                <w:rFonts w:hint="eastAsia" w:ascii="宋体" w:hAnsi="宋体"/>
                <w:sz w:val="21"/>
                <w:szCs w:val="21"/>
                <w:lang w:eastAsia="zh-CN"/>
              </w:rPr>
              <w:t>。</w:t>
            </w:r>
          </w:p>
        </w:tc>
      </w:tr>
      <w:tr>
        <w:tblPrEx>
          <w:tblCellMar>
            <w:top w:w="0" w:type="dxa"/>
            <w:left w:w="108" w:type="dxa"/>
            <w:bottom w:w="0" w:type="dxa"/>
            <w:right w:w="108" w:type="dxa"/>
          </w:tblCellMar>
        </w:tblPrEx>
        <w:trPr>
          <w:trHeight w:val="454" w:hRule="atLeast"/>
        </w:trPr>
        <w:tc>
          <w:tcPr>
            <w:tcW w:w="1129"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eastAsia="宋体" w:cs="宋体"/>
                <w:b/>
                <w:bCs/>
                <w:sz w:val="21"/>
                <w:szCs w:val="21"/>
                <w:lang w:eastAsia="zh-CN"/>
              </w:rPr>
            </w:pPr>
            <w:r>
              <w:rPr>
                <w:rFonts w:hint="eastAsia" w:ascii="宋体" w:hAnsi="宋体" w:eastAsia="宋体" w:cs="宋体"/>
                <w:b/>
                <w:bCs/>
                <w:sz w:val="21"/>
                <w:szCs w:val="21"/>
                <w:lang w:eastAsia="zh-CN"/>
              </w:rPr>
              <w:t>类别</w:t>
            </w:r>
          </w:p>
        </w:tc>
        <w:tc>
          <w:tcPr>
            <w:tcW w:w="4962"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eastAsia="宋体" w:cs="宋体"/>
                <w:b/>
                <w:bCs/>
                <w:sz w:val="21"/>
                <w:szCs w:val="21"/>
                <w:lang w:eastAsia="zh-CN"/>
              </w:rPr>
            </w:pPr>
            <w:r>
              <w:rPr>
                <w:rFonts w:hint="eastAsia" w:ascii="宋体" w:hAnsi="宋体" w:eastAsia="宋体" w:cs="宋体"/>
                <w:b/>
                <w:bCs/>
                <w:sz w:val="21"/>
                <w:szCs w:val="21"/>
                <w:lang w:eastAsia="zh-CN"/>
              </w:rPr>
              <w:t>内容</w:t>
            </w:r>
          </w:p>
        </w:tc>
        <w:tc>
          <w:tcPr>
            <w:tcW w:w="649"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eastAsia="宋体" w:cs="宋体"/>
                <w:b/>
                <w:bCs/>
                <w:sz w:val="21"/>
                <w:szCs w:val="21"/>
                <w:lang w:eastAsia="zh-CN"/>
              </w:rPr>
            </w:pPr>
            <w:r>
              <w:rPr>
                <w:rFonts w:hint="eastAsia" w:ascii="宋体" w:hAnsi="宋体" w:eastAsia="宋体" w:cs="宋体"/>
                <w:b/>
                <w:bCs/>
                <w:sz w:val="21"/>
                <w:szCs w:val="21"/>
                <w:lang w:eastAsia="zh-CN"/>
              </w:rPr>
              <w:t>学分</w:t>
            </w:r>
          </w:p>
        </w:tc>
        <w:tc>
          <w:tcPr>
            <w:tcW w:w="2277" w:type="dxa"/>
            <w:gridSpan w:val="2"/>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eastAsia="宋体" w:cs="宋体"/>
                <w:b/>
                <w:bCs/>
                <w:sz w:val="21"/>
                <w:szCs w:val="21"/>
                <w:lang w:eastAsia="zh-CN"/>
              </w:rPr>
            </w:pPr>
            <w:r>
              <w:rPr>
                <w:rFonts w:hint="eastAsia" w:ascii="宋体" w:hAnsi="宋体" w:eastAsia="宋体" w:cs="宋体"/>
                <w:b/>
                <w:bCs/>
                <w:sz w:val="21"/>
                <w:szCs w:val="21"/>
                <w:lang w:eastAsia="zh-CN"/>
              </w:rPr>
              <w:t>占总学分比例</w:t>
            </w:r>
          </w:p>
        </w:tc>
      </w:tr>
      <w:tr>
        <w:tblPrEx>
          <w:tblCellMar>
            <w:top w:w="0" w:type="dxa"/>
            <w:left w:w="108" w:type="dxa"/>
            <w:bottom w:w="0" w:type="dxa"/>
            <w:right w:w="108" w:type="dxa"/>
          </w:tblCellMar>
        </w:tblPrEx>
        <w:trPr>
          <w:trHeight w:val="1474" w:hRule="atLeast"/>
        </w:trPr>
        <w:tc>
          <w:tcPr>
            <w:tcW w:w="1129" w:type="dxa"/>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ascii="宋体" w:hAnsi="宋体" w:eastAsia="宋体" w:cs="宋体"/>
                <w:sz w:val="21"/>
                <w:szCs w:val="21"/>
                <w:lang w:eastAsia="zh-CN"/>
              </w:rPr>
            </w:pPr>
            <w:r>
              <w:rPr>
                <w:rFonts w:hint="eastAsia" w:ascii="宋体" w:hAnsi="宋体" w:eastAsia="宋体" w:cs="宋体"/>
                <w:sz w:val="21"/>
                <w:szCs w:val="21"/>
                <w:lang w:eastAsia="zh-CN"/>
              </w:rPr>
              <w:t>通识必修课程</w:t>
            </w: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马克思主义基本原理、中国近现代史纲要、毛泽东思想和中国特色社会主义理论体系概论、思想道德修养与法律基础、形势与政策、大学英语、体育；能源特色课，大学生就业与创业实务，大学生心理健康，创新创业基础、大学生入学教育与生涯规划、军事理论（上）</w:t>
            </w:r>
            <w:r>
              <w:rPr>
                <w:rFonts w:hint="eastAsia" w:ascii="宋体" w:hAnsi="宋体" w:eastAsia="宋体" w:cs="宋体"/>
                <w:sz w:val="21"/>
                <w:szCs w:val="21"/>
                <w:lang w:val="en-US" w:eastAsia="zh-CN"/>
              </w:rPr>
              <w:t>（下）</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4</w:t>
            </w:r>
            <w:r>
              <w:rPr>
                <w:rFonts w:hint="eastAsia" w:ascii="宋体" w:hAnsi="宋体" w:eastAsia="宋体" w:cs="宋体"/>
                <w:sz w:val="21"/>
                <w:szCs w:val="21"/>
                <w:lang w:val="en-US" w:eastAsia="zh-CN"/>
              </w:rPr>
              <w:t>1.5</w:t>
            </w:r>
          </w:p>
        </w:tc>
        <w:tc>
          <w:tcPr>
            <w:tcW w:w="1173"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24%</w:t>
            </w:r>
          </w:p>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（≥15%）</w:t>
            </w:r>
          </w:p>
        </w:tc>
        <w:tc>
          <w:tcPr>
            <w:tcW w:w="1104" w:type="dxa"/>
            <w:vMerge w:val="restart"/>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39%</w:t>
            </w:r>
          </w:p>
        </w:tc>
      </w:tr>
      <w:tr>
        <w:tblPrEx>
          <w:tblCellMar>
            <w:top w:w="0" w:type="dxa"/>
            <w:left w:w="108" w:type="dxa"/>
            <w:bottom w:w="0" w:type="dxa"/>
            <w:right w:w="108" w:type="dxa"/>
          </w:tblCellMar>
        </w:tblPrEx>
        <w:trPr>
          <w:trHeight w:val="794" w:hRule="atLeast"/>
        </w:trPr>
        <w:tc>
          <w:tcPr>
            <w:tcW w:w="1129" w:type="dxa"/>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ascii="宋体" w:hAnsi="宋体" w:eastAsia="宋体" w:cs="宋体"/>
                <w:sz w:val="21"/>
                <w:szCs w:val="21"/>
                <w:lang w:eastAsia="zh-CN"/>
              </w:rPr>
            </w:pPr>
            <w:r>
              <w:rPr>
                <w:rFonts w:hint="eastAsia" w:ascii="宋体" w:hAnsi="宋体" w:eastAsia="宋体" w:cs="宋体"/>
                <w:sz w:val="21"/>
                <w:szCs w:val="21"/>
                <w:lang w:eastAsia="zh-CN"/>
              </w:rPr>
              <w:t>数学与自然科学课程</w:t>
            </w: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高等数学、线性代数、概率论与数理统计、大学物理（物理实验1学分）、复变函数与积分变换、电力系统工程计算方法</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26</w:t>
            </w:r>
          </w:p>
        </w:tc>
        <w:tc>
          <w:tcPr>
            <w:tcW w:w="1173"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15％（≥15%）</w:t>
            </w:r>
          </w:p>
        </w:tc>
        <w:tc>
          <w:tcPr>
            <w:tcW w:w="1104"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hint="eastAsia" w:ascii="宋体" w:hAnsi="宋体" w:eastAsia="宋体" w:cs="宋体"/>
                <w:sz w:val="21"/>
                <w:szCs w:val="21"/>
                <w:lang w:eastAsia="zh-CN"/>
              </w:rPr>
            </w:pPr>
          </w:p>
        </w:tc>
      </w:tr>
      <w:tr>
        <w:tblPrEx>
          <w:tblCellMar>
            <w:top w:w="0" w:type="dxa"/>
            <w:left w:w="108" w:type="dxa"/>
            <w:bottom w:w="0" w:type="dxa"/>
            <w:right w:w="108" w:type="dxa"/>
          </w:tblCellMar>
        </w:tblPrEx>
        <w:trPr>
          <w:trHeight w:val="794" w:hRule="atLeast"/>
        </w:trPr>
        <w:tc>
          <w:tcPr>
            <w:tcW w:w="1129" w:type="dxa"/>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ascii="宋体" w:hAnsi="宋体" w:eastAsia="宋体" w:cs="宋体"/>
                <w:sz w:val="21"/>
                <w:szCs w:val="21"/>
                <w:lang w:eastAsia="zh-CN"/>
              </w:rPr>
            </w:pPr>
            <w:r>
              <w:rPr>
                <w:rFonts w:hint="eastAsia" w:ascii="宋体" w:hAnsi="宋体" w:eastAsia="宋体" w:cs="宋体"/>
                <w:sz w:val="21"/>
                <w:szCs w:val="21"/>
                <w:lang w:eastAsia="zh-CN"/>
              </w:rPr>
              <w:t>工程基础课程</w:t>
            </w: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工程制图、程序设计基础（3学分上课）、电路；信号分析与处理、模拟电子技术、数字电子技术、电磁场、自动控制原理（2.5学分上课）</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25</w:t>
            </w:r>
          </w:p>
        </w:tc>
        <w:tc>
          <w:tcPr>
            <w:tcW w:w="1173" w:type="dxa"/>
            <w:vMerge w:val="restart"/>
            <w:tcBorders>
              <w:top w:val="nil"/>
              <w:left w:val="single" w:color="auto" w:sz="4" w:space="0"/>
              <w:right w:val="nil"/>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color w:val="000000" w:themeColor="text1"/>
                <w:sz w:val="21"/>
                <w:szCs w:val="21"/>
                <w:lang w:eastAsia="zh-CN"/>
              </w:rPr>
              <w:t>20.</w:t>
            </w:r>
            <w:r>
              <w:rPr>
                <w:rFonts w:hint="eastAsia" w:ascii="宋体" w:hAnsi="宋体" w:eastAsia="宋体" w:cs="宋体"/>
                <w:color w:val="000000" w:themeColor="text1"/>
                <w:sz w:val="21"/>
                <w:szCs w:val="21"/>
                <w:lang w:val="en-US" w:eastAsia="zh-CN"/>
              </w:rPr>
              <w:t>5</w:t>
            </w:r>
            <w:r>
              <w:rPr>
                <w:rFonts w:hint="eastAsia" w:ascii="宋体" w:hAnsi="宋体" w:eastAsia="宋体" w:cs="宋体"/>
                <w:sz w:val="21"/>
                <w:szCs w:val="21"/>
                <w:lang w:eastAsia="zh-CN"/>
              </w:rPr>
              <w:t>%</w:t>
            </w:r>
          </w:p>
        </w:tc>
        <w:tc>
          <w:tcPr>
            <w:tcW w:w="1104" w:type="dxa"/>
            <w:vMerge w:val="restart"/>
            <w:tcBorders>
              <w:top w:val="single" w:color="auto" w:sz="4" w:space="0"/>
              <w:left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color w:val="000000" w:themeColor="text1"/>
                <w:sz w:val="21"/>
                <w:szCs w:val="21"/>
                <w:lang w:eastAsia="zh-CN"/>
              </w:rPr>
              <w:t>30.</w:t>
            </w:r>
            <w:r>
              <w:rPr>
                <w:rFonts w:hint="eastAsia" w:ascii="宋体" w:hAnsi="宋体" w:eastAsia="宋体" w:cs="宋体"/>
                <w:color w:val="000000" w:themeColor="text1"/>
                <w:sz w:val="21"/>
                <w:szCs w:val="21"/>
                <w:lang w:val="en-US" w:eastAsia="zh-CN"/>
              </w:rPr>
              <w:t>25</w:t>
            </w:r>
            <w:r>
              <w:rPr>
                <w:rFonts w:hint="eastAsia" w:ascii="宋体" w:hAnsi="宋体" w:eastAsia="宋体" w:cs="宋体"/>
                <w:sz w:val="21"/>
                <w:szCs w:val="21"/>
                <w:lang w:eastAsia="zh-CN"/>
              </w:rPr>
              <w:t>%</w:t>
            </w:r>
          </w:p>
        </w:tc>
      </w:tr>
      <w:tr>
        <w:tblPrEx>
          <w:tblCellMar>
            <w:top w:w="0" w:type="dxa"/>
            <w:left w:w="108" w:type="dxa"/>
            <w:bottom w:w="0" w:type="dxa"/>
            <w:right w:w="108" w:type="dxa"/>
          </w:tblCellMar>
        </w:tblPrEx>
        <w:trPr>
          <w:trHeight w:val="510" w:hRule="atLeast"/>
        </w:trPr>
        <w:tc>
          <w:tcPr>
            <w:tcW w:w="1129" w:type="dxa"/>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ascii="宋体" w:hAnsi="宋体" w:eastAsia="宋体" w:cs="宋体"/>
                <w:sz w:val="21"/>
                <w:szCs w:val="21"/>
                <w:lang w:eastAsia="zh-CN"/>
              </w:rPr>
            </w:pPr>
            <w:r>
              <w:rPr>
                <w:rFonts w:hint="eastAsia" w:ascii="宋体" w:hAnsi="宋体" w:eastAsia="宋体" w:cs="宋体"/>
                <w:sz w:val="21"/>
                <w:szCs w:val="21"/>
                <w:lang w:eastAsia="zh-CN"/>
              </w:rPr>
              <w:t>专业基础课</w:t>
            </w: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电机学、电力电子技术（2.5学分上课）、</w:t>
            </w:r>
          </w:p>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微机原理与接口技术（或单片机与接口技术）；</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10.5</w:t>
            </w:r>
          </w:p>
        </w:tc>
        <w:tc>
          <w:tcPr>
            <w:tcW w:w="1173" w:type="dxa"/>
            <w:vMerge w:val="continue"/>
            <w:tcBorders>
              <w:left w:val="single" w:color="auto" w:sz="4" w:space="0"/>
              <w:bottom w:val="single" w:color="auto" w:sz="4" w:space="0"/>
              <w:right w:val="nil"/>
            </w:tcBorders>
            <w:vAlign w:val="center"/>
          </w:tcPr>
          <w:p>
            <w:pPr>
              <w:spacing w:line="220" w:lineRule="exact"/>
              <w:jc w:val="center"/>
              <w:rPr>
                <w:rFonts w:hint="eastAsia" w:ascii="宋体" w:hAnsi="宋体" w:eastAsia="宋体" w:cs="宋体"/>
                <w:sz w:val="21"/>
                <w:szCs w:val="21"/>
                <w:lang w:eastAsia="zh-CN"/>
              </w:rPr>
            </w:pPr>
          </w:p>
        </w:tc>
        <w:tc>
          <w:tcPr>
            <w:tcW w:w="1104" w:type="dxa"/>
            <w:vMerge w:val="continue"/>
            <w:tcBorders>
              <w:left w:val="single" w:color="auto" w:sz="4" w:space="0"/>
              <w:bottom w:val="nil"/>
              <w:right w:val="single" w:color="auto" w:sz="4" w:space="0"/>
            </w:tcBorders>
            <w:vAlign w:val="center"/>
          </w:tcPr>
          <w:p>
            <w:pPr>
              <w:spacing w:line="220" w:lineRule="exact"/>
              <w:jc w:val="center"/>
              <w:rPr>
                <w:rFonts w:hint="eastAsia" w:ascii="宋体" w:hAnsi="宋体" w:eastAsia="宋体" w:cs="宋体"/>
                <w:sz w:val="21"/>
                <w:szCs w:val="21"/>
                <w:lang w:eastAsia="zh-CN"/>
              </w:rPr>
            </w:pPr>
          </w:p>
        </w:tc>
      </w:tr>
      <w:tr>
        <w:tblPrEx>
          <w:tblCellMar>
            <w:top w:w="0" w:type="dxa"/>
            <w:left w:w="108" w:type="dxa"/>
            <w:bottom w:w="0" w:type="dxa"/>
            <w:right w:w="108" w:type="dxa"/>
          </w:tblCellMar>
        </w:tblPrEx>
        <w:trPr>
          <w:trHeight w:val="794" w:hRule="atLeast"/>
        </w:trPr>
        <w:tc>
          <w:tcPr>
            <w:tcW w:w="1129" w:type="dxa"/>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ascii="宋体" w:hAnsi="宋体" w:eastAsia="宋体" w:cs="宋体"/>
                <w:sz w:val="21"/>
                <w:szCs w:val="21"/>
                <w:lang w:eastAsia="zh-CN"/>
              </w:rPr>
            </w:pPr>
            <w:r>
              <w:rPr>
                <w:rFonts w:hint="eastAsia" w:ascii="宋体" w:hAnsi="宋体" w:eastAsia="宋体" w:cs="宋体"/>
                <w:sz w:val="21"/>
                <w:szCs w:val="21"/>
                <w:lang w:eastAsia="zh-CN"/>
              </w:rPr>
              <w:t>专业核心课</w:t>
            </w: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电力系统分析、电力系统继电保护原理、</w:t>
            </w:r>
          </w:p>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发电厂电气主系统、高电压技术、电力系统自动装置；（不含课内实验1分）</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17</w:t>
            </w:r>
          </w:p>
        </w:tc>
        <w:tc>
          <w:tcPr>
            <w:tcW w:w="1173" w:type="dxa"/>
            <w:tcBorders>
              <w:top w:val="nil"/>
              <w:left w:val="nil"/>
              <w:bottom w:val="single" w:color="auto" w:sz="4" w:space="0"/>
              <w:right w:val="nil"/>
            </w:tcBorders>
            <w:shd w:val="clear" w:color="000000" w:fill="FFFFFF"/>
            <w:vAlign w:val="center"/>
          </w:tcPr>
          <w:p>
            <w:pPr>
              <w:spacing w:line="220" w:lineRule="exact"/>
              <w:jc w:val="center"/>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9.</w:t>
            </w:r>
            <w:r>
              <w:rPr>
                <w:rFonts w:hint="eastAsia" w:ascii="宋体" w:hAnsi="宋体" w:eastAsia="宋体" w:cs="宋体"/>
                <w:color w:val="000000" w:themeColor="text1"/>
                <w:sz w:val="21"/>
                <w:szCs w:val="21"/>
                <w:lang w:val="en-US" w:eastAsia="zh-CN"/>
              </w:rPr>
              <w:t>9</w:t>
            </w:r>
            <w:r>
              <w:rPr>
                <w:rFonts w:hint="eastAsia" w:ascii="宋体" w:hAnsi="宋体" w:eastAsia="宋体" w:cs="宋体"/>
                <w:color w:val="000000" w:themeColor="text1"/>
                <w:sz w:val="21"/>
                <w:szCs w:val="21"/>
                <w:lang w:eastAsia="zh-CN"/>
              </w:rPr>
              <w:t>%</w:t>
            </w:r>
          </w:p>
        </w:tc>
        <w:tc>
          <w:tcPr>
            <w:tcW w:w="1104" w:type="dxa"/>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≥30%</w:t>
            </w:r>
          </w:p>
        </w:tc>
      </w:tr>
      <w:tr>
        <w:tblPrEx>
          <w:tblCellMar>
            <w:top w:w="0" w:type="dxa"/>
            <w:left w:w="108" w:type="dxa"/>
            <w:bottom w:w="0" w:type="dxa"/>
            <w:right w:w="108" w:type="dxa"/>
          </w:tblCellMar>
        </w:tblPrEx>
        <w:trPr>
          <w:trHeight w:val="285" w:hRule="atLeast"/>
        </w:trPr>
        <w:tc>
          <w:tcPr>
            <w:tcW w:w="1129" w:type="dxa"/>
            <w:vMerge w:val="restart"/>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ascii="宋体" w:hAnsi="宋体" w:eastAsia="宋体" w:cs="宋体"/>
                <w:sz w:val="21"/>
                <w:szCs w:val="21"/>
                <w:lang w:eastAsia="zh-CN"/>
              </w:rPr>
            </w:pPr>
            <w:r>
              <w:rPr>
                <w:rFonts w:hint="eastAsia" w:ascii="宋体" w:hAnsi="宋体" w:eastAsia="宋体" w:cs="宋体"/>
                <w:sz w:val="21"/>
                <w:szCs w:val="21"/>
                <w:lang w:eastAsia="zh-CN"/>
              </w:rPr>
              <w:t>通识及专业选修课</w:t>
            </w: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专业选修课程</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7</w:t>
            </w:r>
          </w:p>
        </w:tc>
        <w:tc>
          <w:tcPr>
            <w:tcW w:w="1173"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4.0</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p>
        </w:tc>
        <w:tc>
          <w:tcPr>
            <w:tcW w:w="1104" w:type="dxa"/>
            <w:vMerge w:val="restart"/>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8.</w:t>
            </w:r>
            <w:r>
              <w:rPr>
                <w:rFonts w:hint="eastAsia" w:ascii="宋体" w:hAnsi="宋体" w:eastAsia="宋体" w:cs="宋体"/>
                <w:sz w:val="21"/>
                <w:szCs w:val="21"/>
                <w:lang w:val="en-US" w:eastAsia="zh-CN"/>
              </w:rPr>
              <w:t>63</w:t>
            </w:r>
            <w:r>
              <w:rPr>
                <w:rFonts w:hint="eastAsia" w:ascii="宋体" w:hAnsi="宋体" w:eastAsia="宋体" w:cs="宋体"/>
                <w:sz w:val="21"/>
                <w:szCs w:val="21"/>
                <w:lang w:eastAsia="zh-CN"/>
              </w:rPr>
              <w:t>%</w:t>
            </w:r>
          </w:p>
        </w:tc>
      </w:tr>
      <w:tr>
        <w:tblPrEx>
          <w:tblCellMar>
            <w:top w:w="0" w:type="dxa"/>
            <w:left w:w="108" w:type="dxa"/>
            <w:bottom w:w="0" w:type="dxa"/>
            <w:right w:w="108" w:type="dxa"/>
          </w:tblCellMar>
        </w:tblPrEx>
        <w:trPr>
          <w:trHeight w:val="285" w:hRule="atLeast"/>
        </w:trPr>
        <w:tc>
          <w:tcPr>
            <w:tcW w:w="1129"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ascii="宋体" w:hAnsi="宋体" w:eastAsia="宋体" w:cs="宋体"/>
                <w:sz w:val="21"/>
                <w:szCs w:val="21"/>
                <w:lang w:eastAsia="zh-CN"/>
              </w:rPr>
            </w:pP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通识选修-人文社科类</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173" w:type="dxa"/>
            <w:vMerge w:val="restart"/>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4.6%</w:t>
            </w:r>
          </w:p>
        </w:tc>
        <w:tc>
          <w:tcPr>
            <w:tcW w:w="1104"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hint="eastAsia" w:ascii="宋体" w:hAnsi="宋体" w:eastAsia="宋体" w:cs="宋体"/>
                <w:sz w:val="21"/>
                <w:szCs w:val="21"/>
                <w:lang w:eastAsia="zh-CN"/>
              </w:rPr>
            </w:pPr>
          </w:p>
        </w:tc>
      </w:tr>
      <w:tr>
        <w:tblPrEx>
          <w:tblCellMar>
            <w:top w:w="0" w:type="dxa"/>
            <w:left w:w="108" w:type="dxa"/>
            <w:bottom w:w="0" w:type="dxa"/>
            <w:right w:w="108" w:type="dxa"/>
          </w:tblCellMar>
        </w:tblPrEx>
        <w:trPr>
          <w:trHeight w:val="285" w:hRule="atLeast"/>
        </w:trPr>
        <w:tc>
          <w:tcPr>
            <w:tcW w:w="1129"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ascii="宋体" w:hAnsi="宋体" w:eastAsia="宋体" w:cs="宋体"/>
                <w:sz w:val="21"/>
                <w:szCs w:val="21"/>
                <w:lang w:eastAsia="zh-CN"/>
              </w:rPr>
            </w:pP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通识选修-艺术审美类</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173"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hint="eastAsia" w:ascii="宋体" w:hAnsi="宋体" w:eastAsia="宋体" w:cs="宋体"/>
                <w:sz w:val="21"/>
                <w:szCs w:val="21"/>
                <w:lang w:eastAsia="zh-CN"/>
              </w:rPr>
            </w:pPr>
          </w:p>
        </w:tc>
        <w:tc>
          <w:tcPr>
            <w:tcW w:w="1104"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hint="eastAsia" w:ascii="宋体" w:hAnsi="宋体" w:eastAsia="宋体" w:cs="宋体"/>
                <w:sz w:val="21"/>
                <w:szCs w:val="21"/>
                <w:lang w:eastAsia="zh-CN"/>
              </w:rPr>
            </w:pPr>
          </w:p>
        </w:tc>
      </w:tr>
      <w:tr>
        <w:tblPrEx>
          <w:tblCellMar>
            <w:top w:w="0" w:type="dxa"/>
            <w:left w:w="108" w:type="dxa"/>
            <w:bottom w:w="0" w:type="dxa"/>
            <w:right w:w="108" w:type="dxa"/>
          </w:tblCellMar>
        </w:tblPrEx>
        <w:trPr>
          <w:trHeight w:val="285" w:hRule="atLeast"/>
        </w:trPr>
        <w:tc>
          <w:tcPr>
            <w:tcW w:w="1129"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ascii="宋体" w:hAnsi="宋体" w:eastAsia="宋体" w:cs="宋体"/>
                <w:sz w:val="21"/>
                <w:szCs w:val="21"/>
                <w:lang w:eastAsia="zh-CN"/>
              </w:rPr>
            </w:pP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通识选修-自然科学类</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173"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hint="eastAsia" w:ascii="宋体" w:hAnsi="宋体" w:eastAsia="宋体" w:cs="宋体"/>
                <w:sz w:val="21"/>
                <w:szCs w:val="21"/>
                <w:lang w:eastAsia="zh-CN"/>
              </w:rPr>
            </w:pPr>
          </w:p>
        </w:tc>
        <w:tc>
          <w:tcPr>
            <w:tcW w:w="1104"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hint="eastAsia" w:ascii="宋体" w:hAnsi="宋体" w:eastAsia="宋体" w:cs="宋体"/>
                <w:sz w:val="21"/>
                <w:szCs w:val="21"/>
                <w:lang w:eastAsia="zh-CN"/>
              </w:rPr>
            </w:pPr>
          </w:p>
        </w:tc>
      </w:tr>
      <w:tr>
        <w:tblPrEx>
          <w:tblCellMar>
            <w:top w:w="0" w:type="dxa"/>
            <w:left w:w="108" w:type="dxa"/>
            <w:bottom w:w="0" w:type="dxa"/>
            <w:right w:w="108" w:type="dxa"/>
          </w:tblCellMar>
        </w:tblPrEx>
        <w:trPr>
          <w:trHeight w:val="285" w:hRule="atLeast"/>
        </w:trPr>
        <w:tc>
          <w:tcPr>
            <w:tcW w:w="1129"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ascii="宋体" w:hAnsi="宋体" w:eastAsia="宋体" w:cs="宋体"/>
                <w:sz w:val="21"/>
                <w:szCs w:val="21"/>
                <w:lang w:eastAsia="zh-CN"/>
              </w:rPr>
            </w:pP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通识选修-英语拓展类</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bookmarkStart w:id="0" w:name="_GoBack"/>
            <w:bookmarkEnd w:id="0"/>
            <w:r>
              <w:rPr>
                <w:rFonts w:hint="eastAsia" w:ascii="宋体" w:hAnsi="宋体" w:eastAsia="宋体" w:cs="宋体"/>
                <w:sz w:val="21"/>
                <w:szCs w:val="21"/>
                <w:lang w:eastAsia="zh-CN"/>
              </w:rPr>
              <w:t>2</w:t>
            </w:r>
          </w:p>
        </w:tc>
        <w:tc>
          <w:tcPr>
            <w:tcW w:w="1173"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hint="eastAsia" w:ascii="宋体" w:hAnsi="宋体" w:eastAsia="宋体" w:cs="宋体"/>
                <w:sz w:val="21"/>
                <w:szCs w:val="21"/>
                <w:lang w:eastAsia="zh-CN"/>
              </w:rPr>
            </w:pPr>
          </w:p>
        </w:tc>
        <w:tc>
          <w:tcPr>
            <w:tcW w:w="1104" w:type="dxa"/>
            <w:vMerge w:val="continue"/>
            <w:tcBorders>
              <w:top w:val="nil"/>
              <w:left w:val="single" w:color="auto" w:sz="4" w:space="0"/>
              <w:bottom w:val="single" w:color="auto" w:sz="4" w:space="0"/>
              <w:right w:val="single" w:color="auto" w:sz="4" w:space="0"/>
            </w:tcBorders>
            <w:vAlign w:val="center"/>
          </w:tcPr>
          <w:p>
            <w:pPr>
              <w:spacing w:line="220" w:lineRule="exact"/>
              <w:jc w:val="center"/>
              <w:rPr>
                <w:rFonts w:hint="eastAsia" w:ascii="宋体" w:hAnsi="宋体" w:eastAsia="宋体" w:cs="宋体"/>
                <w:sz w:val="21"/>
                <w:szCs w:val="21"/>
                <w:lang w:eastAsia="zh-CN"/>
              </w:rPr>
            </w:pPr>
          </w:p>
        </w:tc>
      </w:tr>
      <w:tr>
        <w:tblPrEx>
          <w:tblCellMar>
            <w:top w:w="0" w:type="dxa"/>
            <w:left w:w="108" w:type="dxa"/>
            <w:bottom w:w="0" w:type="dxa"/>
            <w:right w:w="108" w:type="dxa"/>
          </w:tblCellMar>
        </w:tblPrEx>
        <w:trPr>
          <w:trHeight w:val="1247" w:hRule="atLeast"/>
        </w:trPr>
        <w:tc>
          <w:tcPr>
            <w:tcW w:w="1129" w:type="dxa"/>
            <w:vMerge w:val="restart"/>
            <w:tcBorders>
              <w:top w:val="nil"/>
              <w:left w:val="single" w:color="auto" w:sz="4" w:space="0"/>
              <w:bottom w:val="nil"/>
              <w:right w:val="single" w:color="auto" w:sz="4" w:space="0"/>
            </w:tcBorders>
            <w:shd w:val="clear" w:color="auto" w:fill="auto"/>
            <w:vAlign w:val="center"/>
          </w:tcPr>
          <w:p>
            <w:pPr>
              <w:spacing w:line="220" w:lineRule="exact"/>
              <w:jc w:val="center"/>
              <w:rPr>
                <w:sz w:val="21"/>
                <w:szCs w:val="21"/>
                <w:lang w:eastAsia="zh-CN"/>
              </w:rPr>
            </w:pPr>
            <w:r>
              <w:rPr>
                <w:rFonts w:hint="eastAsia"/>
                <w:sz w:val="21"/>
                <w:szCs w:val="21"/>
              </w:rPr>
              <w:t>工程实践与毕业设</w:t>
            </w:r>
            <w:r>
              <w:rPr>
                <w:rFonts w:hint="eastAsia"/>
                <w:sz w:val="21"/>
                <w:szCs w:val="21"/>
                <w:lang w:eastAsia="zh-CN"/>
              </w:rPr>
              <w:t>计</w:t>
            </w:r>
          </w:p>
        </w:tc>
        <w:tc>
          <w:tcPr>
            <w:tcW w:w="4962"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物理实验（2学分，32学时），程序设计基础（2学分,32学时上机），专业核心课程课内实验合计（1学分，16学时），电力电子技术（0.5学分，8学时实验），自动控制原理（0.5学分，8学时实验）</w:t>
            </w:r>
          </w:p>
        </w:tc>
        <w:tc>
          <w:tcPr>
            <w:tcW w:w="649" w:type="dxa"/>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6</w:t>
            </w:r>
          </w:p>
        </w:tc>
        <w:tc>
          <w:tcPr>
            <w:tcW w:w="1173" w:type="dxa"/>
            <w:tcBorders>
              <w:top w:val="nil"/>
              <w:left w:val="single" w:color="auto" w:sz="4" w:space="0"/>
              <w:bottom w:val="single" w:color="auto" w:sz="4" w:space="0"/>
              <w:right w:val="nil"/>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3.5%</w:t>
            </w:r>
          </w:p>
        </w:tc>
        <w:tc>
          <w:tcPr>
            <w:tcW w:w="1104" w:type="dxa"/>
            <w:tcBorders>
              <w:top w:val="single" w:color="auto" w:sz="4" w:space="0"/>
              <w:left w:val="single" w:color="auto" w:sz="4" w:space="0"/>
              <w:bottom w:val="nil"/>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r>
              <w:rPr>
                <w:rFonts w:hint="eastAsia" w:ascii="宋体" w:hAnsi="宋体" w:eastAsia="宋体" w:cs="宋体"/>
                <w:sz w:val="21"/>
                <w:szCs w:val="21"/>
                <w:lang w:val="en-US" w:eastAsia="zh-CN"/>
              </w:rPr>
              <w:t>2.2</w:t>
            </w:r>
            <w:r>
              <w:rPr>
                <w:rFonts w:hint="eastAsia" w:ascii="宋体" w:hAnsi="宋体" w:eastAsia="宋体" w:cs="宋体"/>
                <w:sz w:val="21"/>
                <w:szCs w:val="21"/>
                <w:lang w:eastAsia="zh-CN"/>
              </w:rPr>
              <w:t>%</w:t>
            </w:r>
          </w:p>
        </w:tc>
      </w:tr>
      <w:tr>
        <w:tblPrEx>
          <w:tblCellMar>
            <w:top w:w="0" w:type="dxa"/>
            <w:left w:w="108" w:type="dxa"/>
            <w:bottom w:w="0" w:type="dxa"/>
            <w:right w:w="108" w:type="dxa"/>
          </w:tblCellMar>
        </w:tblPrEx>
        <w:trPr>
          <w:trHeight w:val="454" w:hRule="atLeast"/>
        </w:trPr>
        <w:tc>
          <w:tcPr>
            <w:tcW w:w="1129" w:type="dxa"/>
            <w:vMerge w:val="continue"/>
            <w:tcBorders>
              <w:left w:val="single" w:color="auto" w:sz="4" w:space="0"/>
              <w:bottom w:val="single" w:color="auto" w:sz="4" w:space="0"/>
              <w:right w:val="single" w:color="auto" w:sz="4" w:space="0"/>
            </w:tcBorders>
            <w:shd w:val="clear" w:color="auto" w:fill="auto"/>
            <w:vAlign w:val="center"/>
          </w:tcPr>
          <w:p>
            <w:pPr>
              <w:spacing w:line="220" w:lineRule="exact"/>
              <w:jc w:val="center"/>
              <w:rPr>
                <w:sz w:val="21"/>
                <w:szCs w:val="21"/>
              </w:rPr>
            </w:pPr>
          </w:p>
        </w:tc>
        <w:tc>
          <w:tcPr>
            <w:tcW w:w="4962" w:type="dxa"/>
            <w:tcBorders>
              <w:top w:val="single" w:color="auto" w:sz="4" w:space="0"/>
              <w:left w:val="nil"/>
              <w:bottom w:val="single" w:color="auto" w:sz="4" w:space="0"/>
              <w:right w:val="single" w:color="auto" w:sz="4" w:space="0"/>
            </w:tcBorders>
            <w:shd w:val="clear" w:color="000000" w:fill="FFFFFF"/>
            <w:vAlign w:val="center"/>
          </w:tcPr>
          <w:p>
            <w:pPr>
              <w:spacing w:line="220" w:lineRule="exact"/>
              <w:rPr>
                <w:rFonts w:ascii="宋体" w:hAnsi="宋体" w:eastAsia="宋体" w:cs="宋体"/>
                <w:sz w:val="21"/>
                <w:szCs w:val="21"/>
                <w:lang w:eastAsia="zh-CN"/>
              </w:rPr>
            </w:pPr>
            <w:r>
              <w:rPr>
                <w:rFonts w:hint="eastAsia" w:ascii="宋体" w:hAnsi="宋体" w:eastAsia="宋体" w:cs="宋体"/>
                <w:sz w:val="21"/>
                <w:szCs w:val="21"/>
                <w:lang w:eastAsia="zh-CN"/>
              </w:rPr>
              <w:t>集中实践教学环节</w:t>
            </w:r>
          </w:p>
        </w:tc>
        <w:tc>
          <w:tcPr>
            <w:tcW w:w="649" w:type="dxa"/>
            <w:tcBorders>
              <w:top w:val="nil"/>
              <w:left w:val="nil"/>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32.5</w:t>
            </w:r>
          </w:p>
        </w:tc>
        <w:tc>
          <w:tcPr>
            <w:tcW w:w="1173" w:type="dxa"/>
            <w:tcBorders>
              <w:top w:val="nil"/>
              <w:left w:val="nil"/>
              <w:bottom w:val="single" w:color="auto" w:sz="4" w:space="0"/>
              <w:right w:val="nil"/>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r>
              <w:rPr>
                <w:rFonts w:hint="eastAsia" w:ascii="宋体" w:hAnsi="宋体" w:eastAsia="宋体" w:cs="宋体"/>
                <w:sz w:val="21"/>
                <w:szCs w:val="21"/>
                <w:lang w:val="en-US" w:eastAsia="zh-CN"/>
              </w:rPr>
              <w:t>8.73</w:t>
            </w:r>
            <w:r>
              <w:rPr>
                <w:rFonts w:hint="eastAsia" w:ascii="宋体" w:hAnsi="宋体" w:eastAsia="宋体" w:cs="宋体"/>
                <w:sz w:val="21"/>
                <w:szCs w:val="21"/>
                <w:lang w:eastAsia="zh-CN"/>
              </w:rPr>
              <w:t>%</w:t>
            </w:r>
          </w:p>
        </w:tc>
        <w:tc>
          <w:tcPr>
            <w:tcW w:w="1104" w:type="dxa"/>
            <w:tcBorders>
              <w:top w:val="nil"/>
              <w:left w:val="single" w:color="auto" w:sz="4" w:space="0"/>
              <w:bottom w:val="single" w:color="auto" w:sz="4" w:space="0"/>
              <w:right w:val="single" w:color="auto" w:sz="4" w:space="0"/>
            </w:tcBorders>
            <w:shd w:val="clear" w:color="000000" w:fill="FFFFFF"/>
            <w:vAlign w:val="center"/>
          </w:tcPr>
          <w:p>
            <w:pPr>
              <w:spacing w:line="22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≥20%</w:t>
            </w:r>
          </w:p>
        </w:tc>
      </w:tr>
    </w:tbl>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黑体" w:hAnsi="黑体" w:eastAsia="黑体" w:cs="黑体"/>
          <w:b/>
          <w:bCs/>
          <w:sz w:val="24"/>
          <w:szCs w:val="24"/>
          <w:lang w:val="zh-TW" w:eastAsia="zh-TW"/>
        </w:rPr>
      </w:pPr>
    </w:p>
    <w:p>
      <w:pPr>
        <w:spacing w:line="220" w:lineRule="exact"/>
        <w:rPr>
          <w:rFonts w:ascii="黑体" w:hAnsi="黑体" w:eastAsia="黑体" w:cs="黑体"/>
          <w:sz w:val="21"/>
          <w:szCs w:val="21"/>
          <w:lang w:eastAsia="zh-CN"/>
        </w:rPr>
      </w:pPr>
      <w:r>
        <w:rPr>
          <w:rFonts w:hint="eastAsia" w:ascii="黑体" w:hAnsi="黑体" w:eastAsia="黑体" w:cs="黑体"/>
          <w:b/>
          <w:bCs/>
          <w:sz w:val="21"/>
          <w:szCs w:val="21"/>
          <w:lang w:val="zh-TW" w:eastAsia="zh-TW"/>
        </w:rPr>
        <w:t>十一、教学安排指导表（另附表）</w:t>
      </w:r>
    </w:p>
    <w:sectPr>
      <w:pgSz w:w="11900" w:h="16840"/>
      <w:pgMar w:top="1417" w:right="1701" w:bottom="1417" w:left="1701" w:header="851" w:footer="964" w:gutter="0"/>
      <w:pgNumType w:start="2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华文新魏">
    <w:panose1 w:val="02010800040101010101"/>
    <w:charset w:val="86"/>
    <w:family w:val="auto"/>
    <w:pitch w:val="default"/>
    <w:sig w:usb0="00000001" w:usb1="080F0000" w:usb2="00000000" w:usb3="00000000" w:csb0="00040000"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76552B"/>
    <w:multiLevelType w:val="singleLevel"/>
    <w:tmpl w:val="F076552B"/>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characterSpacingControl w:val="doNotCompress"/>
  <w:compat>
    <w:useFELayout/>
    <w:compatSetting w:name="compatibilityMode" w:uri="http://schemas.microsoft.com/office/word" w:val="12"/>
  </w:compat>
  <w:rsids>
    <w:rsidRoot w:val="00C81892"/>
    <w:rsid w:val="00000959"/>
    <w:rsid w:val="0001338F"/>
    <w:rsid w:val="00061991"/>
    <w:rsid w:val="000927FD"/>
    <w:rsid w:val="00106FEF"/>
    <w:rsid w:val="001155E3"/>
    <w:rsid w:val="00120A63"/>
    <w:rsid w:val="0017545B"/>
    <w:rsid w:val="00180F5B"/>
    <w:rsid w:val="001D111E"/>
    <w:rsid w:val="001D3F14"/>
    <w:rsid w:val="001F076E"/>
    <w:rsid w:val="00230BF6"/>
    <w:rsid w:val="002B2B51"/>
    <w:rsid w:val="00381991"/>
    <w:rsid w:val="003F18C0"/>
    <w:rsid w:val="00435FF2"/>
    <w:rsid w:val="00437C41"/>
    <w:rsid w:val="00457EBE"/>
    <w:rsid w:val="00465695"/>
    <w:rsid w:val="004C25B3"/>
    <w:rsid w:val="004D0580"/>
    <w:rsid w:val="004F0EEF"/>
    <w:rsid w:val="004F43B0"/>
    <w:rsid w:val="00533EE0"/>
    <w:rsid w:val="00582B27"/>
    <w:rsid w:val="005A0467"/>
    <w:rsid w:val="005C05D3"/>
    <w:rsid w:val="005E41B2"/>
    <w:rsid w:val="00635F3C"/>
    <w:rsid w:val="00640640"/>
    <w:rsid w:val="0066162D"/>
    <w:rsid w:val="0066256A"/>
    <w:rsid w:val="006700BF"/>
    <w:rsid w:val="006C78D4"/>
    <w:rsid w:val="00705A0A"/>
    <w:rsid w:val="007309DA"/>
    <w:rsid w:val="007A3B75"/>
    <w:rsid w:val="007C744F"/>
    <w:rsid w:val="007C7AD3"/>
    <w:rsid w:val="007D3C1A"/>
    <w:rsid w:val="00806AEE"/>
    <w:rsid w:val="00806EF5"/>
    <w:rsid w:val="00876152"/>
    <w:rsid w:val="00877B1D"/>
    <w:rsid w:val="008A25C3"/>
    <w:rsid w:val="008A502C"/>
    <w:rsid w:val="008B10C9"/>
    <w:rsid w:val="008C52B9"/>
    <w:rsid w:val="0094411E"/>
    <w:rsid w:val="00956F63"/>
    <w:rsid w:val="00992E5E"/>
    <w:rsid w:val="00995504"/>
    <w:rsid w:val="009A4AE5"/>
    <w:rsid w:val="009A4F65"/>
    <w:rsid w:val="009D46B5"/>
    <w:rsid w:val="009F01CF"/>
    <w:rsid w:val="00A37E4B"/>
    <w:rsid w:val="00A37FBF"/>
    <w:rsid w:val="00B16703"/>
    <w:rsid w:val="00B23C4D"/>
    <w:rsid w:val="00B407E3"/>
    <w:rsid w:val="00B47AF7"/>
    <w:rsid w:val="00B70D46"/>
    <w:rsid w:val="00B74EC3"/>
    <w:rsid w:val="00B82708"/>
    <w:rsid w:val="00B843EA"/>
    <w:rsid w:val="00B97936"/>
    <w:rsid w:val="00C81892"/>
    <w:rsid w:val="00C91EAD"/>
    <w:rsid w:val="00CA3D98"/>
    <w:rsid w:val="00CB5FE9"/>
    <w:rsid w:val="00CB6F00"/>
    <w:rsid w:val="00CC686B"/>
    <w:rsid w:val="00CD7E16"/>
    <w:rsid w:val="00D01A38"/>
    <w:rsid w:val="00D01D45"/>
    <w:rsid w:val="00D13B39"/>
    <w:rsid w:val="00D36D97"/>
    <w:rsid w:val="00DA4510"/>
    <w:rsid w:val="00DC4480"/>
    <w:rsid w:val="00DC7710"/>
    <w:rsid w:val="00DC7BBC"/>
    <w:rsid w:val="00E25A66"/>
    <w:rsid w:val="00E91DC8"/>
    <w:rsid w:val="00ED2DB5"/>
    <w:rsid w:val="00F6144A"/>
    <w:rsid w:val="00F6254F"/>
    <w:rsid w:val="00F72191"/>
    <w:rsid w:val="00F9237C"/>
    <w:rsid w:val="00FA6A30"/>
    <w:rsid w:val="01671C3E"/>
    <w:rsid w:val="0D6F41D9"/>
    <w:rsid w:val="0DCB719B"/>
    <w:rsid w:val="179673B7"/>
    <w:rsid w:val="17EB232C"/>
    <w:rsid w:val="1DEB0203"/>
    <w:rsid w:val="25F427AD"/>
    <w:rsid w:val="40B85410"/>
    <w:rsid w:val="42DE1479"/>
    <w:rsid w:val="477B2EB9"/>
    <w:rsid w:val="4E6E6F90"/>
    <w:rsid w:val="51063DC5"/>
    <w:rsid w:val="5AE41889"/>
    <w:rsid w:val="5B6B5266"/>
    <w:rsid w:val="5B6F0996"/>
    <w:rsid w:val="5EAD4CEB"/>
    <w:rsid w:val="63E16F96"/>
    <w:rsid w:val="65B31E66"/>
    <w:rsid w:val="69E21D66"/>
    <w:rsid w:val="6CEF5C0D"/>
    <w:rsid w:val="72850E39"/>
    <w:rsid w:val="734C2A44"/>
    <w:rsid w:val="777B413C"/>
    <w:rsid w:val="7B4473DB"/>
    <w:rsid w:val="7D571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Times New Roman" w:hAnsi="Times New Roman" w:cs="Times New Roman" w:eastAsiaTheme="minorEastAsia"/>
      <w:sz w:val="24"/>
      <w:szCs w:val="24"/>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uiPriority w:val="99"/>
  </w:style>
  <w:style w:type="paragraph" w:styleId="3">
    <w:name w:val="Body Text Indent"/>
    <w:qFormat/>
    <w:uiPriority w:val="0"/>
    <w:pPr>
      <w:widowControl w:val="0"/>
      <w:ind w:firstLine="42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styleId="4">
    <w:name w:val="Balloon Text"/>
    <w:basedOn w:val="1"/>
    <w:link w:val="19"/>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semiHidden/>
    <w:unhideWhenUsed/>
    <w:qFormat/>
    <w:uiPriority w:val="99"/>
    <w:rPr>
      <w:b/>
      <w:bCs/>
    </w:rPr>
  </w:style>
  <w:style w:type="character" w:styleId="10">
    <w:name w:val="Hyperlink"/>
    <w:qFormat/>
    <w:uiPriority w:val="0"/>
    <w:rPr>
      <w:u w:val="single"/>
    </w:rPr>
  </w:style>
  <w:style w:type="character" w:styleId="11">
    <w:name w:val="annotation reference"/>
    <w:basedOn w:val="9"/>
    <w:semiHidden/>
    <w:unhideWhenUsed/>
    <w:qFormat/>
    <w:uiPriority w:val="99"/>
    <w:rPr>
      <w:sz w:val="21"/>
      <w:szCs w:val="21"/>
    </w:rPr>
  </w:style>
  <w:style w:type="table" w:customStyle="1" w:styleId="12">
    <w:name w:val="Table Normal"/>
    <w:qFormat/>
    <w:uiPriority w:val="0"/>
    <w:tblPr>
      <w:tblCellMar>
        <w:top w:w="0" w:type="dxa"/>
        <w:left w:w="0" w:type="dxa"/>
        <w:bottom w:w="0" w:type="dxa"/>
        <w:right w:w="0" w:type="dxa"/>
      </w:tblCellMar>
    </w:tblPr>
  </w:style>
  <w:style w:type="paragraph" w:customStyle="1" w:styleId="13">
    <w:name w:val="页眉与页脚"/>
    <w:qFormat/>
    <w:uiPriority w:val="0"/>
    <w:pPr>
      <w:tabs>
        <w:tab w:val="right" w:pos="9020"/>
      </w:tabs>
    </w:pPr>
    <w:rPr>
      <w:rFonts w:ascii="Helvetica" w:hAnsi="Arial Unicode MS" w:eastAsia="Arial Unicode MS" w:cs="Arial Unicode MS"/>
      <w:color w:val="000000"/>
      <w:sz w:val="24"/>
      <w:szCs w:val="24"/>
      <w:lang w:val="en-US" w:eastAsia="zh-CN" w:bidi="ar-SA"/>
    </w:rPr>
  </w:style>
  <w:style w:type="paragraph" w:customStyle="1" w:styleId="14">
    <w:name w:val="正文 A"/>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character" w:customStyle="1" w:styleId="15">
    <w:name w:val="页眉 Char"/>
    <w:basedOn w:val="9"/>
    <w:link w:val="6"/>
    <w:qFormat/>
    <w:uiPriority w:val="99"/>
    <w:rPr>
      <w:sz w:val="18"/>
      <w:szCs w:val="18"/>
      <w:lang w:eastAsia="en-US"/>
    </w:rPr>
  </w:style>
  <w:style w:type="character" w:customStyle="1" w:styleId="16">
    <w:name w:val="页脚 Char"/>
    <w:basedOn w:val="9"/>
    <w:link w:val="5"/>
    <w:qFormat/>
    <w:uiPriority w:val="99"/>
    <w:rPr>
      <w:sz w:val="18"/>
      <w:szCs w:val="18"/>
      <w:lang w:eastAsia="en-US"/>
    </w:rPr>
  </w:style>
  <w:style w:type="character" w:customStyle="1" w:styleId="17">
    <w:name w:val="批注文字 Char"/>
    <w:basedOn w:val="9"/>
    <w:link w:val="2"/>
    <w:semiHidden/>
    <w:qFormat/>
    <w:uiPriority w:val="99"/>
    <w:rPr>
      <w:sz w:val="24"/>
      <w:szCs w:val="24"/>
      <w:lang w:eastAsia="en-US"/>
    </w:rPr>
  </w:style>
  <w:style w:type="character" w:customStyle="1" w:styleId="18">
    <w:name w:val="批注主题 Char"/>
    <w:basedOn w:val="17"/>
    <w:link w:val="7"/>
    <w:semiHidden/>
    <w:qFormat/>
    <w:uiPriority w:val="99"/>
    <w:rPr>
      <w:b/>
      <w:bCs/>
      <w:sz w:val="24"/>
      <w:szCs w:val="24"/>
      <w:lang w:eastAsia="en-US"/>
    </w:rPr>
  </w:style>
  <w:style w:type="character" w:customStyle="1" w:styleId="19">
    <w:name w:val="批注框文本 Char"/>
    <w:basedOn w:val="9"/>
    <w:link w:val="4"/>
    <w:semiHidden/>
    <w:qFormat/>
    <w:uiPriority w:val="99"/>
    <w:rPr>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2077</Words>
  <Characters>2198</Characters>
  <Lines>16</Lines>
  <Paragraphs>4</Paragraphs>
  <TotalTime>61</TotalTime>
  <ScaleCrop>false</ScaleCrop>
  <LinksUpToDate>false</LinksUpToDate>
  <CharactersWithSpaces>2216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2018-09-10T09:06:00Z</dcterms:created>
  <dc:creator>Administrator</dc:creator>
  <cp:lastModifiedBy>绿日</cp:lastModifiedBy>
  <cp:lastPrinted>2020-07-13T06:17:00Z</cp:lastPrinted>
  <dcterms:modified xsi:type="dcterms:W3CDTF">2020-08-17T03:58:48Z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KSORubyTemplateID" linkTarget="0">
    <vt:lpwstr>6</vt:lpwstr>
  </property>
</Properties>
</file>